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0A1B" w14:textId="014F887B" w:rsidR="00AF19C9" w:rsidRPr="00C60F03" w:rsidRDefault="00FA2563" w:rsidP="00AF19C9">
      <w:pPr>
        <w:pageBreakBefore/>
        <w:spacing w:after="180" w:line="240" w:lineRule="auto"/>
        <w:jc w:val="center"/>
        <w:outlineLvl w:val="0"/>
        <w:rPr>
          <w:rFonts w:ascii="Times New Roman" w:eastAsia="Times New Roman" w:hAnsi="Times New Roman" w:cs="Times New Roman"/>
          <w:b/>
          <w:bCs/>
          <w:caps/>
          <w:color w:val="000000"/>
          <w:kern w:val="0"/>
          <w:sz w:val="20"/>
          <w:szCs w:val="20"/>
          <w:lang w:val="en-US" w:bidi="ar-SA"/>
          <w14:ligatures w14:val="none"/>
        </w:rPr>
      </w:pPr>
      <w:bookmarkStart w:id="0" w:name="_Hlk153296198"/>
      <w:r w:rsidRPr="00C60F03">
        <w:rPr>
          <w:rFonts w:ascii="Times New Roman" w:eastAsia="Times New Roman" w:hAnsi="Times New Roman" w:cs="Times New Roman"/>
          <w:b/>
          <w:bCs/>
          <w:caps/>
          <w:color w:val="000000"/>
          <w:kern w:val="0"/>
          <w:sz w:val="20"/>
          <w:szCs w:val="20"/>
          <w:lang w:val="en-US" w:bidi="ar-SA"/>
          <w14:ligatures w14:val="none"/>
        </w:rPr>
        <w:t xml:space="preserve">PODSUMOWANIE EMISJI </w:t>
      </w:r>
    </w:p>
    <w:p w14:paraId="540A9881" w14:textId="1A21CC10" w:rsidR="00AF19C9" w:rsidRPr="00C60F03" w:rsidRDefault="00FA2563" w:rsidP="00FA2563">
      <w:pPr>
        <w:keepNext/>
        <w:keepLines/>
        <w:numPr>
          <w:ilvl w:val="1"/>
          <w:numId w:val="1"/>
        </w:numPr>
        <w:spacing w:after="120" w:line="240" w:lineRule="auto"/>
        <w:ind w:right="-709"/>
        <w:jc w:val="both"/>
        <w:outlineLvl w:val="1"/>
        <w:rPr>
          <w:rFonts w:ascii="Times New Roman" w:eastAsia="Times New Roman" w:hAnsi="Times New Roman" w:cs="Times New Roman"/>
          <w:b/>
          <w:bCs/>
          <w:caps/>
          <w:color w:val="000000"/>
          <w:kern w:val="0"/>
          <w:sz w:val="20"/>
          <w:szCs w:val="20"/>
          <w:lang w:val="en-US" w:bidi="ar-SA"/>
          <w14:ligatures w14:val="none"/>
        </w:rPr>
      </w:pPr>
      <w:r w:rsidRPr="00C60F03">
        <w:rPr>
          <w:rFonts w:ascii="Times New Roman" w:eastAsia="Times New Roman" w:hAnsi="Times New Roman" w:cs="Times New Roman"/>
          <w:b/>
          <w:bCs/>
          <w:caps/>
          <w:color w:val="000000"/>
          <w:kern w:val="0"/>
          <w:sz w:val="20"/>
          <w:szCs w:val="20"/>
          <w:lang w:val="en-GB" w:bidi="ar-SA"/>
          <w14:ligatures w14:val="none"/>
        </w:rPr>
        <w:t>WSTĘP I OSTRZEŻENIA</w:t>
      </w:r>
    </w:p>
    <w:p w14:paraId="4CEA68E0" w14:textId="68FEB320" w:rsidR="00893258" w:rsidRPr="00C60F03" w:rsidRDefault="00893258" w:rsidP="00893258">
      <w:pPr>
        <w:spacing w:after="18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Niniejsze podsumowanie dotyczy oferty publicznej w zakresie zabezpieczonych obligacji (dalej „</w:t>
      </w:r>
      <w:r w:rsidRPr="00C60F03">
        <w:rPr>
          <w:rFonts w:ascii="Times New Roman" w:eastAsia="MS Mincho" w:hAnsi="Times New Roman" w:cs="Times New Roman"/>
          <w:b/>
          <w:bCs/>
          <w:kern w:val="0"/>
          <w:sz w:val="20"/>
          <w:szCs w:val="20"/>
          <w:lang w:val="en-US" w:bidi="ar-SA"/>
          <w14:ligatures w14:val="none"/>
        </w:rPr>
        <w:t>Obligacje</w:t>
      </w:r>
      <w:r w:rsidRPr="00C60F03">
        <w:rPr>
          <w:rFonts w:ascii="Times New Roman" w:eastAsia="MS Mincho" w:hAnsi="Times New Roman" w:cs="Times New Roman"/>
          <w:kern w:val="0"/>
          <w:sz w:val="20"/>
          <w:szCs w:val="20"/>
          <w:lang w:val="en-US" w:bidi="ar-SA"/>
          <w14:ligatures w14:val="none"/>
        </w:rPr>
        <w:t>”) przeprowadzonej w krajach takich jak Austria, Czechy, Dania, Niemcy, Irlandia, Włochy, Luksemburg, Malta, Norwegia, Holandia, Finlandia, Francja, Polska, Hiszpania, Szwecja i Szwajcaria oraz dopuszczenie Obligacji do obrotu na rynku regulowanym (regulierter Markt) Giełdy we Frankfurcie i giełdy SIX Swiss Exchange. Kod ISIN dla Obligacji („</w:t>
      </w:r>
      <w:r w:rsidRPr="00C60F03">
        <w:rPr>
          <w:rFonts w:ascii="Times New Roman" w:eastAsia="MS Mincho" w:hAnsi="Times New Roman" w:cs="Times New Roman"/>
          <w:b/>
          <w:bCs/>
          <w:kern w:val="0"/>
          <w:sz w:val="20"/>
          <w:szCs w:val="20"/>
          <w:lang w:val="en-US" w:bidi="ar-SA"/>
          <w14:ligatures w14:val="none"/>
        </w:rPr>
        <w:t>ISIN</w:t>
      </w:r>
      <w:r w:rsidRPr="00C60F03">
        <w:rPr>
          <w:rFonts w:ascii="Times New Roman" w:eastAsia="MS Mincho" w:hAnsi="Times New Roman" w:cs="Times New Roman"/>
          <w:kern w:val="0"/>
          <w:sz w:val="20"/>
          <w:szCs w:val="20"/>
          <w:lang w:val="en-US" w:bidi="ar-SA"/>
          <w14:ligatures w14:val="none"/>
        </w:rPr>
        <w:t>”) to</w:t>
      </w:r>
      <w:r w:rsidR="00FA08E8" w:rsidRPr="00C60F03">
        <w:rPr>
          <w:rFonts w:ascii="Times New Roman" w:eastAsia="Times New Roman" w:hAnsi="Times New Roman" w:cs="Times New Roman"/>
          <w:kern w:val="0"/>
          <w:sz w:val="20"/>
          <w:szCs w:val="20"/>
          <w:lang w:val="en-GB" w:eastAsia="en-GB" w:bidi="ar-SA"/>
          <w14:ligatures w14:val="none"/>
        </w:rPr>
        <w:t xml:space="preserve"> DE000A3G90G9</w:t>
      </w:r>
      <w:r w:rsidRPr="00C60F03">
        <w:rPr>
          <w:rFonts w:ascii="Times New Roman" w:eastAsia="MS Mincho" w:hAnsi="Times New Roman" w:cs="Times New Roman"/>
          <w:kern w:val="0"/>
          <w:sz w:val="20"/>
          <w:szCs w:val="20"/>
          <w:lang w:val="en-US" w:bidi="ar-SA"/>
          <w14:ligatures w14:val="none"/>
        </w:rPr>
        <w:t xml:space="preserve">. </w:t>
      </w:r>
    </w:p>
    <w:p w14:paraId="681528C1" w14:textId="6616F37E" w:rsidR="00893258" w:rsidRPr="00C60F03" w:rsidRDefault="00893258" w:rsidP="00893258">
      <w:pPr>
        <w:spacing w:after="180" w:line="240" w:lineRule="auto"/>
        <w:jc w:val="both"/>
        <w:rPr>
          <w:rFonts w:ascii="Times New Roman" w:eastAsia="MS Mincho" w:hAnsi="Times New Roman" w:cs="Times New Roman"/>
          <w:kern w:val="0"/>
          <w:sz w:val="20"/>
          <w:szCs w:val="20"/>
          <w:lang w:bidi="ar-SA"/>
          <w14:ligatures w14:val="none"/>
        </w:rPr>
      </w:pPr>
      <w:r w:rsidRPr="00C60F03">
        <w:rPr>
          <w:rFonts w:ascii="Times New Roman" w:eastAsia="MS Mincho" w:hAnsi="Times New Roman" w:cs="Times New Roman"/>
          <w:kern w:val="0"/>
          <w:sz w:val="20"/>
          <w:szCs w:val="20"/>
          <w:lang w:val="en-US" w:bidi="ar-SA"/>
          <w14:ligatures w14:val="none"/>
        </w:rPr>
        <w:t>Prospekt podstawowy został zatwierdzony w dniu 2</w:t>
      </w:r>
      <w:r w:rsidR="00682B3A" w:rsidRPr="00C60F03">
        <w:rPr>
          <w:rFonts w:ascii="Times New Roman" w:eastAsia="MS Mincho" w:hAnsi="Times New Roman" w:cs="Times New Roman"/>
          <w:kern w:val="0"/>
          <w:sz w:val="20"/>
          <w:szCs w:val="20"/>
          <w:lang w:val="en-US" w:bidi="ar-SA"/>
          <w14:ligatures w14:val="none"/>
        </w:rPr>
        <w:t>1</w:t>
      </w:r>
      <w:r w:rsidRPr="00C60F03">
        <w:rPr>
          <w:rFonts w:ascii="Times New Roman" w:eastAsia="MS Mincho" w:hAnsi="Times New Roman" w:cs="Times New Roman"/>
          <w:kern w:val="0"/>
          <w:sz w:val="20"/>
          <w:szCs w:val="20"/>
          <w:lang w:val="en-US" w:bidi="ar-SA"/>
          <w14:ligatures w14:val="none"/>
        </w:rPr>
        <w:t xml:space="preserve"> listopada 202</w:t>
      </w:r>
      <w:r w:rsidR="00682B3A" w:rsidRPr="00C60F03">
        <w:rPr>
          <w:rFonts w:ascii="Times New Roman" w:eastAsia="MS Mincho" w:hAnsi="Times New Roman" w:cs="Times New Roman"/>
          <w:kern w:val="0"/>
          <w:sz w:val="20"/>
          <w:szCs w:val="20"/>
          <w:lang w:val="en-US" w:bidi="ar-SA"/>
          <w14:ligatures w14:val="none"/>
        </w:rPr>
        <w:t>3</w:t>
      </w:r>
      <w:r w:rsidRPr="00C60F03">
        <w:rPr>
          <w:rFonts w:ascii="Times New Roman" w:eastAsia="MS Mincho" w:hAnsi="Times New Roman" w:cs="Times New Roman"/>
          <w:kern w:val="0"/>
          <w:sz w:val="20"/>
          <w:szCs w:val="20"/>
          <w:lang w:val="en-US" w:bidi="ar-SA"/>
          <w14:ligatures w14:val="none"/>
        </w:rPr>
        <w:t xml:space="preserve"> r.</w:t>
      </w:r>
      <w:r w:rsidR="00682B3A"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val="en-US" w:bidi="ar-SA"/>
          <w14:ligatures w14:val="none"/>
        </w:rPr>
        <w:t>(„</w:t>
      </w:r>
      <w:r w:rsidRPr="00C60F03">
        <w:rPr>
          <w:rFonts w:ascii="Times New Roman" w:eastAsia="MS Mincho" w:hAnsi="Times New Roman" w:cs="Times New Roman"/>
          <w:b/>
          <w:bCs/>
          <w:kern w:val="0"/>
          <w:sz w:val="20"/>
          <w:szCs w:val="20"/>
          <w:lang w:val="en-US" w:bidi="ar-SA"/>
          <w14:ligatures w14:val="none"/>
        </w:rPr>
        <w:t>Prospekt podstawowy</w:t>
      </w:r>
      <w:r w:rsidRPr="00C60F03">
        <w:rPr>
          <w:rFonts w:ascii="Times New Roman" w:eastAsia="MS Mincho" w:hAnsi="Times New Roman" w:cs="Times New Roman"/>
          <w:kern w:val="0"/>
          <w:sz w:val="20"/>
          <w:szCs w:val="20"/>
          <w:lang w:val="en-US" w:bidi="ar-SA"/>
          <w14:ligatures w14:val="none"/>
        </w:rPr>
        <w:t>”), przez Bundesanstalt für Finanzdienstleistungsaufsicht („</w:t>
      </w:r>
      <w:r w:rsidRPr="00C60F03">
        <w:rPr>
          <w:rFonts w:ascii="Times New Roman" w:eastAsia="MS Mincho" w:hAnsi="Times New Roman" w:cs="Times New Roman"/>
          <w:b/>
          <w:bCs/>
          <w:kern w:val="0"/>
          <w:sz w:val="20"/>
          <w:szCs w:val="20"/>
          <w:lang w:val="en-US" w:bidi="ar-SA"/>
          <w14:ligatures w14:val="none"/>
        </w:rPr>
        <w:t>BaFin</w:t>
      </w:r>
      <w:r w:rsidRPr="00C60F03">
        <w:rPr>
          <w:rFonts w:ascii="Times New Roman" w:eastAsia="MS Mincho" w:hAnsi="Times New Roman" w:cs="Times New Roman"/>
          <w:kern w:val="0"/>
          <w:sz w:val="20"/>
          <w:szCs w:val="20"/>
          <w:lang w:val="en-US" w:bidi="ar-SA"/>
          <w14:ligatures w14:val="none"/>
        </w:rPr>
        <w:t xml:space="preserve">”) z siedzibą pod adresem Marie-Curie-Str. </w:t>
      </w:r>
      <w:r w:rsidRPr="00C60F03">
        <w:rPr>
          <w:rFonts w:ascii="Times New Roman" w:eastAsia="MS Mincho" w:hAnsi="Times New Roman" w:cs="Times New Roman"/>
          <w:kern w:val="0"/>
          <w:sz w:val="20"/>
          <w:szCs w:val="20"/>
          <w:lang w:bidi="ar-SA"/>
          <w14:ligatures w14:val="none"/>
        </w:rPr>
        <w:t xml:space="preserve">24-28, 60439 Frankfurt nad Menem, Niemcy, adres mailowy: poststelle@bafin.de, nr telefonu: +49 (0)228 4108-0. </w:t>
      </w:r>
    </w:p>
    <w:p w14:paraId="322FB0B5" w14:textId="77777777" w:rsidR="00FA08E8" w:rsidRPr="00C60F03" w:rsidRDefault="00893258" w:rsidP="00893258">
      <w:pPr>
        <w:spacing w:after="180" w:line="240" w:lineRule="auto"/>
        <w:jc w:val="both"/>
        <w:rPr>
          <w:rFonts w:ascii="Times New Roman" w:eastAsia="MS Mincho" w:hAnsi="Times New Roman" w:cs="Times New Roman"/>
          <w:kern w:val="0"/>
          <w:sz w:val="20"/>
          <w:szCs w:val="20"/>
          <w:lang w:bidi="ar-SA"/>
          <w14:ligatures w14:val="none"/>
        </w:rPr>
      </w:pPr>
      <w:r w:rsidRPr="00C60F03">
        <w:rPr>
          <w:rFonts w:ascii="Times New Roman" w:eastAsia="MS Mincho" w:hAnsi="Times New Roman" w:cs="Times New Roman"/>
          <w:kern w:val="0"/>
          <w:sz w:val="20"/>
          <w:szCs w:val="20"/>
          <w:lang w:bidi="ar-SA"/>
          <w14:ligatures w14:val="none"/>
        </w:rPr>
        <w:t>Niniejsze podsumowanie należy rozumieć jako wstęp do Prospektu podstawowego. Ewentualna decyzja o zainwestowaniu w Obligacje Emitenta powinna zostać podjęta po przeanalizowaniu przez inwestora treści Prospektu podstawowego w całości. Inwestorzy mogą stracić całość lub część kapitału inwestowanego w Obligacje Emitenta. Spółka ETC Issuance GmbH z siedzibą pod adresem Thurn- und Taxis-Platz 6, 60313 Frankfurt nad Menem, Niemcy (dalej zwana „</w:t>
      </w:r>
      <w:r w:rsidRPr="00C60F03">
        <w:rPr>
          <w:rFonts w:ascii="Times New Roman" w:eastAsia="MS Mincho" w:hAnsi="Times New Roman" w:cs="Times New Roman"/>
          <w:b/>
          <w:bCs/>
          <w:kern w:val="0"/>
          <w:sz w:val="20"/>
          <w:szCs w:val="20"/>
          <w:lang w:bidi="ar-SA"/>
          <w14:ligatures w14:val="none"/>
        </w:rPr>
        <w:t>Emitentem</w:t>
      </w:r>
      <w:r w:rsidRPr="00C60F03">
        <w:rPr>
          <w:rFonts w:ascii="Times New Roman" w:eastAsia="MS Mincho" w:hAnsi="Times New Roman" w:cs="Times New Roman"/>
          <w:kern w:val="0"/>
          <w:sz w:val="20"/>
          <w:szCs w:val="20"/>
          <w:lang w:bidi="ar-SA"/>
          <w14:ligatures w14:val="none"/>
        </w:rPr>
        <w:t xml:space="preserve">”) przyjmuje odpowiedzialność za informacje zawarte w niniejszym podsumowaniu i jego tłumaczenie na język niemiecki. Emitent może zostać pociągnięty do odpowiedzialności tylko w zakresie, w jakim podsumowanie wprowadza w błąd, jest nierzetelne, niedokładne lub niespójne w połączeniu z treścią innych części Prospektu podstawowego, lub jeśli łącznie z pozostałymi częściami Prospektu podstawowego nie przedstawia kluczowych informacji pomocnych inwestorom przy podejmowaniu decyzji o inwestowaniu w przedmiotowe papiery wartościowe. W przypadku wniesienia do sądu powództwa dotyczącego informacji zawartych w Prospekcie podstawowym, powód będący inwestorem może, zgodnie z przepisami prawa krajowego państw członkowskich Europejskiego Obszaru Gospodarczego, być zobowiązany do poniesienia koszów tłumaczenia Prospektu podstawowego przed rozpoczęciem postępowania. </w:t>
      </w:r>
    </w:p>
    <w:p w14:paraId="548477F1" w14:textId="77777777" w:rsidR="00FA08E8" w:rsidRPr="00C60F03" w:rsidRDefault="00893258" w:rsidP="00893258">
      <w:pPr>
        <w:spacing w:after="180" w:line="240" w:lineRule="auto"/>
        <w:jc w:val="both"/>
        <w:rPr>
          <w:rFonts w:ascii="Times New Roman" w:eastAsia="MS Mincho" w:hAnsi="Times New Roman" w:cs="Times New Roman"/>
          <w:kern w:val="0"/>
          <w:sz w:val="20"/>
          <w:szCs w:val="20"/>
          <w:lang w:bidi="ar-SA"/>
          <w14:ligatures w14:val="none"/>
        </w:rPr>
      </w:pPr>
      <w:r w:rsidRPr="00C60F03">
        <w:rPr>
          <w:rFonts w:ascii="Times New Roman" w:eastAsia="MS Mincho" w:hAnsi="Times New Roman" w:cs="Times New Roman"/>
          <w:kern w:val="0"/>
          <w:sz w:val="20"/>
          <w:szCs w:val="20"/>
          <w:lang w:bidi="ar-SA"/>
          <w14:ligatures w14:val="none"/>
        </w:rPr>
        <w:t>Kod LEI (</w:t>
      </w:r>
      <w:r w:rsidRPr="00C60F03">
        <w:rPr>
          <w:rFonts w:ascii="Times New Roman" w:eastAsia="MS Mincho" w:hAnsi="Times New Roman" w:cs="Times New Roman"/>
          <w:b/>
          <w:bCs/>
          <w:kern w:val="0"/>
          <w:sz w:val="20"/>
          <w:szCs w:val="20"/>
          <w:lang w:bidi="ar-SA"/>
          <w14:ligatures w14:val="none"/>
        </w:rPr>
        <w:t>identyfikator osoby prawnej</w:t>
      </w:r>
      <w:r w:rsidRPr="00C60F03">
        <w:rPr>
          <w:rFonts w:ascii="Times New Roman" w:eastAsia="MS Mincho" w:hAnsi="Times New Roman" w:cs="Times New Roman"/>
          <w:kern w:val="0"/>
          <w:sz w:val="20"/>
          <w:szCs w:val="20"/>
          <w:lang w:bidi="ar-SA"/>
          <w14:ligatures w14:val="none"/>
        </w:rPr>
        <w:t xml:space="preserve">) Emitenta to 875500BTZPKWM4X8R658. </w:t>
      </w:r>
    </w:p>
    <w:p w14:paraId="7393B0CF" w14:textId="6A9AED0A" w:rsidR="00893258" w:rsidRPr="00C60F03" w:rsidRDefault="00893258" w:rsidP="00893258">
      <w:pPr>
        <w:spacing w:after="180" w:line="240" w:lineRule="auto"/>
        <w:jc w:val="both"/>
        <w:rPr>
          <w:rFonts w:ascii="Times New Roman" w:eastAsia="MS Mincho" w:hAnsi="Times New Roman" w:cs="Times New Roman"/>
          <w:kern w:val="0"/>
          <w:sz w:val="20"/>
          <w:szCs w:val="20"/>
          <w:lang w:bidi="ar-SA"/>
          <w14:ligatures w14:val="none"/>
        </w:rPr>
      </w:pPr>
      <w:r w:rsidRPr="00C60F03">
        <w:rPr>
          <w:rFonts w:ascii="Times New Roman" w:eastAsia="MS Mincho" w:hAnsi="Times New Roman" w:cs="Times New Roman"/>
          <w:kern w:val="0"/>
          <w:sz w:val="20"/>
          <w:szCs w:val="20"/>
          <w:lang w:bidi="ar-SA"/>
          <w14:ligatures w14:val="none"/>
        </w:rPr>
        <w:t>Spółka Steubing AG Wertpapierhandelsbank, z siedzibą w Goethestrasse 29, 60313 Frankfurt nad Menem, Niemcy, kod LEI (identyfikator osoby prawnej) 39120043LUI1WJS8IX30, złożyła wniosek o dopuszczenie Obligacji do obrotu na rynku regulowanym.</w:t>
      </w:r>
    </w:p>
    <w:p w14:paraId="4BD2741A" w14:textId="157E8D33" w:rsidR="00AF19C9" w:rsidRPr="00C60F03" w:rsidRDefault="006A4059" w:rsidP="006A4059">
      <w:pPr>
        <w:keepNext/>
        <w:keepLines/>
        <w:numPr>
          <w:ilvl w:val="1"/>
          <w:numId w:val="1"/>
        </w:numPr>
        <w:spacing w:after="180" w:line="240" w:lineRule="auto"/>
        <w:jc w:val="both"/>
        <w:outlineLvl w:val="1"/>
        <w:rPr>
          <w:rFonts w:ascii="Times New Roman" w:eastAsia="Times New Roman" w:hAnsi="Times New Roman" w:cs="Times New Roman"/>
          <w:b/>
          <w:bCs/>
          <w:caps/>
          <w:color w:val="000000"/>
          <w:kern w:val="0"/>
          <w:sz w:val="20"/>
          <w:szCs w:val="20"/>
          <w:lang w:val="en-US" w:bidi="ar-SA"/>
          <w14:ligatures w14:val="none"/>
        </w:rPr>
      </w:pPr>
      <w:r w:rsidRPr="00C60F03">
        <w:rPr>
          <w:rFonts w:ascii="Times New Roman" w:eastAsia="Times New Roman" w:hAnsi="Times New Roman" w:cs="Times New Roman"/>
          <w:b/>
          <w:bCs/>
          <w:caps/>
          <w:color w:val="000000"/>
          <w:kern w:val="0"/>
          <w:sz w:val="20"/>
          <w:szCs w:val="20"/>
          <w:lang w:val="en-GB" w:bidi="ar-SA"/>
          <w14:ligatures w14:val="none"/>
        </w:rPr>
        <w:t>KLUCZOWE INFORMACJE NA TEMAT EMITENTA</w:t>
      </w:r>
    </w:p>
    <w:p w14:paraId="63BCD3EC" w14:textId="3B5D4F4D" w:rsidR="00AF19C9" w:rsidRPr="00C60F03" w:rsidRDefault="006A4059" w:rsidP="006A4059">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bidi="ar-SA"/>
          <w14:ligatures w14:val="none"/>
        </w:rPr>
      </w:pPr>
      <w:r w:rsidRPr="00C60F03">
        <w:rPr>
          <w:rFonts w:ascii="Times New Roman" w:eastAsia="Times New Roman" w:hAnsi="Times New Roman" w:cs="Times New Roman"/>
          <w:b/>
          <w:bCs/>
          <w:color w:val="000000"/>
          <w:kern w:val="0"/>
          <w:sz w:val="20"/>
          <w:szCs w:val="20"/>
          <w:lang w:bidi="ar-SA"/>
          <w14:ligatures w14:val="none"/>
        </w:rPr>
        <w:t>Kto jest emitentem papierów wartościowych?</w:t>
      </w:r>
    </w:p>
    <w:p w14:paraId="386E951A" w14:textId="7587559D" w:rsidR="00CA5740" w:rsidRPr="00C60F03" w:rsidRDefault="00CA5740" w:rsidP="00CA5740">
      <w:pPr>
        <w:spacing w:after="60" w:line="240" w:lineRule="auto"/>
        <w:jc w:val="both"/>
        <w:rPr>
          <w:rFonts w:ascii="Times New Roman" w:eastAsia="MS Mincho" w:hAnsi="Times New Roman" w:cs="Times New Roman"/>
          <w:kern w:val="0"/>
          <w:sz w:val="20"/>
          <w:szCs w:val="20"/>
          <w:lang w:val="es-ES" w:bidi="ar-SA"/>
          <w14:ligatures w14:val="none"/>
        </w:rPr>
      </w:pPr>
      <w:r w:rsidRPr="00C60F03">
        <w:rPr>
          <w:rFonts w:ascii="Times New Roman" w:eastAsia="MS Mincho" w:hAnsi="Times New Roman" w:cs="Times New Roman"/>
          <w:kern w:val="0"/>
          <w:sz w:val="20"/>
          <w:szCs w:val="20"/>
          <w:lang w:val="es-ES" w:bidi="ar-SA"/>
          <w14:ligatures w14:val="none"/>
        </w:rPr>
        <w:t xml:space="preserve">Firma i nazwa handlowa emitenta brzmi ETC Issuance GmbH. </w:t>
      </w:r>
      <w:r w:rsidRPr="00C60F03">
        <w:rPr>
          <w:rFonts w:ascii="Times New Roman" w:eastAsia="MS Mincho" w:hAnsi="Times New Roman" w:cs="Times New Roman"/>
          <w:kern w:val="0"/>
          <w:sz w:val="20"/>
          <w:szCs w:val="20"/>
          <w:lang w:val="da-DK" w:bidi="ar-SA"/>
          <w14:ligatures w14:val="none"/>
        </w:rPr>
        <w:t>Kod LEI Emitenta to 875500BTZPKWM4X8R658. Emitent został utworzony i prowadzi działalność zgodnie z prawem niemieckim, a jego główne miejsce prowadzenia działalności mieści się pod adresem Gridiron, One Pancras Square, Londyn, N1C 4 AG, Zjednoczone Królestwo. Siedziba Emitenta znajduje się pod adresem Thurn- und Taxis-Platz 6, 60313 Frankfurt nad Menem, Niemcy. Emitent jest wpisany do rejestru handlowego prowadzonego przez sąd rejonowy (</w:t>
      </w:r>
      <w:r w:rsidRPr="00C60F03">
        <w:rPr>
          <w:rFonts w:ascii="Times New Roman" w:eastAsia="MS Mincho" w:hAnsi="Times New Roman" w:cs="Times New Roman"/>
          <w:i/>
          <w:iCs/>
          <w:kern w:val="0"/>
          <w:sz w:val="20"/>
          <w:szCs w:val="20"/>
          <w:lang w:val="da-DK" w:bidi="ar-SA"/>
          <w14:ligatures w14:val="none"/>
        </w:rPr>
        <w:t>Amtsgericht</w:t>
      </w:r>
      <w:r w:rsidRPr="00C60F03">
        <w:rPr>
          <w:rFonts w:ascii="Times New Roman" w:eastAsia="MS Mincho" w:hAnsi="Times New Roman" w:cs="Times New Roman"/>
          <w:kern w:val="0"/>
          <w:sz w:val="20"/>
          <w:szCs w:val="20"/>
          <w:lang w:val="da-DK" w:bidi="ar-SA"/>
          <w14:ligatures w14:val="none"/>
        </w:rPr>
        <w:t xml:space="preserve">) dla Frankfurtu nad Menem pod numerem HRB 116604. </w:t>
      </w:r>
      <w:r w:rsidRPr="00C60F03">
        <w:rPr>
          <w:rFonts w:ascii="Times New Roman" w:eastAsia="MS Mincho" w:hAnsi="Times New Roman" w:cs="Times New Roman"/>
          <w:kern w:val="0"/>
          <w:sz w:val="20"/>
          <w:szCs w:val="20"/>
          <w:lang w:val="es-ES" w:bidi="ar-SA"/>
          <w14:ligatures w14:val="none"/>
        </w:rPr>
        <w:t>Strona internetowa Emitenta to: https://www.etc-group.com, a numer telefonu: +49 69 8088 3728.</w:t>
      </w:r>
    </w:p>
    <w:p w14:paraId="4B041A9B" w14:textId="62C8C683" w:rsidR="00AF19C9" w:rsidRPr="00C60F03" w:rsidRDefault="00CA5740" w:rsidP="00CA5740">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C60F03">
        <w:rPr>
          <w:rFonts w:ascii="Times New Roman" w:eastAsia="Times New Roman" w:hAnsi="Times New Roman" w:cs="Times New Roman"/>
          <w:b/>
          <w:bCs/>
          <w:iCs/>
          <w:color w:val="000000"/>
          <w:kern w:val="0"/>
          <w:sz w:val="20"/>
          <w:szCs w:val="20"/>
          <w:lang w:val="en-GB" w:bidi="ar-SA"/>
          <w14:ligatures w14:val="none"/>
        </w:rPr>
        <w:t>Główny przedmiot działalności Emitenta</w:t>
      </w:r>
    </w:p>
    <w:p w14:paraId="0AD987A4" w14:textId="29975532" w:rsidR="00DC0EA8" w:rsidRPr="00C60F03" w:rsidRDefault="00846515" w:rsidP="00DC0EA8">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Podstawowa</w:t>
      </w:r>
      <w:r w:rsidR="00DC0EA8" w:rsidRPr="00C60F03">
        <w:rPr>
          <w:rFonts w:ascii="Times New Roman" w:eastAsia="MS Mincho" w:hAnsi="Times New Roman" w:cs="Times New Roman"/>
          <w:kern w:val="0"/>
          <w:sz w:val="20"/>
          <w:szCs w:val="20"/>
          <w:lang w:val="en-US" w:bidi="ar-SA"/>
          <w14:ligatures w14:val="none"/>
        </w:rPr>
        <w:t xml:space="preserve"> działalnością Emitenta jest emisja obligacji, które są zabezpieczone kryptowalutami i innymi aktywami cyfrowymi, w tym obligacjami oferującymi również możliwość stakingu. W związku z tym, Emitent będzie korzystać z usług Dostawcy Stakingu w celu zaangażowania się w działania stakingowe w odniesieniu do kryptowalut otrzymanych w zamian za subskrypcję wyemitowanych obligacji.</w:t>
      </w:r>
    </w:p>
    <w:p w14:paraId="2EA52E73" w14:textId="496C4DDD" w:rsidR="00DC0EA8" w:rsidRPr="00C60F03" w:rsidRDefault="00DC0EA8" w:rsidP="00DC0EA8">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Poprzez emisję Obligacji, Emitent zamierza zaspokoić popyt inwestorów na zbywalne papiery wartościowe, które służą do dokonywania inwestycji w kryptowaluty i inne aktywa cyfrowe.</w:t>
      </w:r>
    </w:p>
    <w:p w14:paraId="74DE67EA" w14:textId="194FE88E" w:rsidR="00AF19C9" w:rsidRPr="00C60F03" w:rsidRDefault="00846515" w:rsidP="00AF19C9">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C60F03">
        <w:rPr>
          <w:rFonts w:ascii="Times New Roman" w:eastAsia="Times New Roman" w:hAnsi="Times New Roman" w:cs="Times New Roman"/>
          <w:b/>
          <w:bCs/>
          <w:iCs/>
          <w:color w:val="000000"/>
          <w:kern w:val="0"/>
          <w:sz w:val="20"/>
          <w:szCs w:val="20"/>
          <w:lang w:val="en-US" w:bidi="ar-SA"/>
          <w14:ligatures w14:val="none"/>
        </w:rPr>
        <w:t>Wspólnicy większościowi</w:t>
      </w:r>
    </w:p>
    <w:p w14:paraId="13456A75" w14:textId="443D9B39" w:rsidR="00AF19C9" w:rsidRPr="00C60F03" w:rsidRDefault="000E17E3" w:rsidP="000E17E3">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Jedynym wspólnikiem Emitenta jest ETC Management Ltd („</w:t>
      </w:r>
      <w:r w:rsidRPr="00C60F03">
        <w:rPr>
          <w:rFonts w:ascii="Times New Roman" w:eastAsia="MS Mincho" w:hAnsi="Times New Roman" w:cs="Times New Roman"/>
          <w:b/>
          <w:bCs/>
          <w:kern w:val="0"/>
          <w:sz w:val="20"/>
          <w:szCs w:val="20"/>
          <w:lang w:val="en-US" w:bidi="ar-SA"/>
          <w14:ligatures w14:val="none"/>
        </w:rPr>
        <w:t>ETCM</w:t>
      </w:r>
      <w:r w:rsidRPr="00C60F03">
        <w:rPr>
          <w:rFonts w:ascii="Times New Roman" w:eastAsia="MS Mincho" w:hAnsi="Times New Roman" w:cs="Times New Roman"/>
          <w:kern w:val="0"/>
          <w:sz w:val="20"/>
          <w:szCs w:val="20"/>
          <w:lang w:val="en-US" w:bidi="ar-SA"/>
          <w14:ligatures w14:val="none"/>
        </w:rPr>
        <w:t>”). Jedynym wspólnikiem ETCM jest ETC Holdings Ltd („</w:t>
      </w:r>
      <w:r w:rsidRPr="00C60F03">
        <w:rPr>
          <w:rFonts w:ascii="Times New Roman" w:eastAsia="MS Mincho" w:hAnsi="Times New Roman" w:cs="Times New Roman"/>
          <w:b/>
          <w:bCs/>
          <w:kern w:val="0"/>
          <w:sz w:val="20"/>
          <w:szCs w:val="20"/>
          <w:lang w:val="en-US" w:bidi="ar-SA"/>
          <w14:ligatures w14:val="none"/>
        </w:rPr>
        <w:t>Spółka Holdingowa</w:t>
      </w:r>
      <w:r w:rsidRPr="00C60F03">
        <w:rPr>
          <w:rFonts w:ascii="Times New Roman" w:eastAsia="MS Mincho" w:hAnsi="Times New Roman" w:cs="Times New Roman"/>
          <w:kern w:val="0"/>
          <w:sz w:val="20"/>
          <w:szCs w:val="20"/>
          <w:lang w:val="en-US" w:bidi="ar-SA"/>
          <w14:ligatures w14:val="none"/>
        </w:rPr>
        <w:t>”). Udziały w Spółce Holdingowej są skupione w rękach niewielkiej liczby wspólników: (i) XTX Investments UK Limited („</w:t>
      </w:r>
      <w:r w:rsidRPr="00C60F03">
        <w:rPr>
          <w:rFonts w:ascii="Times New Roman" w:eastAsia="MS Mincho" w:hAnsi="Times New Roman" w:cs="Times New Roman"/>
          <w:b/>
          <w:bCs/>
          <w:kern w:val="0"/>
          <w:sz w:val="20"/>
          <w:szCs w:val="20"/>
          <w:lang w:val="en-US" w:bidi="ar-SA"/>
          <w14:ligatures w14:val="none"/>
        </w:rPr>
        <w:t>XTX</w:t>
      </w:r>
      <w:r w:rsidRPr="00C60F03">
        <w:rPr>
          <w:rFonts w:ascii="Times New Roman" w:eastAsia="MS Mincho" w:hAnsi="Times New Roman" w:cs="Times New Roman"/>
          <w:kern w:val="0"/>
          <w:sz w:val="20"/>
          <w:szCs w:val="20"/>
          <w:lang w:val="en-US" w:bidi="ar-SA"/>
          <w14:ligatures w14:val="none"/>
        </w:rPr>
        <w:t>”) oraz (ii) MLM Holdings Ltd („</w:t>
      </w:r>
      <w:r w:rsidRPr="00C60F03">
        <w:rPr>
          <w:rFonts w:ascii="Times New Roman" w:eastAsia="MS Mincho" w:hAnsi="Times New Roman" w:cs="Times New Roman"/>
          <w:b/>
          <w:bCs/>
          <w:kern w:val="0"/>
          <w:sz w:val="20"/>
          <w:szCs w:val="20"/>
          <w:lang w:val="en-US" w:bidi="ar-SA"/>
          <w14:ligatures w14:val="none"/>
        </w:rPr>
        <w:t>MLM</w:t>
      </w:r>
      <w:r w:rsidRPr="00C60F03">
        <w:rPr>
          <w:rFonts w:ascii="Times New Roman" w:eastAsia="MS Mincho" w:hAnsi="Times New Roman" w:cs="Times New Roman"/>
          <w:kern w:val="0"/>
          <w:sz w:val="20"/>
          <w:szCs w:val="20"/>
          <w:lang w:val="en-US" w:bidi="ar-SA"/>
          <w14:ligatures w14:val="none"/>
        </w:rPr>
        <w:t>”), które razem posiadają więcej niż 50,00 procent praw głosu.</w:t>
      </w:r>
    </w:p>
    <w:p w14:paraId="6911B416" w14:textId="5A620277" w:rsidR="00AF19C9" w:rsidRPr="00C60F03" w:rsidRDefault="00846515" w:rsidP="00AF19C9">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C60F03">
        <w:rPr>
          <w:rFonts w:ascii="Times New Roman" w:eastAsia="Times New Roman" w:hAnsi="Times New Roman" w:cs="Times New Roman"/>
          <w:b/>
          <w:bCs/>
          <w:iCs/>
          <w:color w:val="000000"/>
          <w:kern w:val="0"/>
          <w:sz w:val="20"/>
          <w:szCs w:val="20"/>
          <w:lang w:val="en-US" w:bidi="ar-SA"/>
          <w14:ligatures w14:val="none"/>
        </w:rPr>
        <w:t>Kluczowi dyrektorzy zarządzający</w:t>
      </w:r>
    </w:p>
    <w:p w14:paraId="6736A8ED" w14:textId="58891D18" w:rsidR="00AF19C9" w:rsidRPr="00C60F03" w:rsidRDefault="005B65C7" w:rsidP="00AF19C9">
      <w:pPr>
        <w:spacing w:after="60" w:line="240" w:lineRule="auto"/>
        <w:ind w:left="720" w:hanging="720"/>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Emitentem zarządzają jego dyrektorzy zarządzający, Leyla Sharifullina i Timothy Bevan.</w:t>
      </w:r>
    </w:p>
    <w:p w14:paraId="36FB6C62" w14:textId="7F861A32" w:rsidR="00AF19C9" w:rsidRPr="00C60F03" w:rsidRDefault="005B054C" w:rsidP="00AF19C9">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C60F03">
        <w:rPr>
          <w:rFonts w:ascii="Times New Roman" w:eastAsia="Times New Roman" w:hAnsi="Times New Roman" w:cs="Times New Roman"/>
          <w:b/>
          <w:bCs/>
          <w:iCs/>
          <w:color w:val="000000"/>
          <w:kern w:val="0"/>
          <w:sz w:val="20"/>
          <w:szCs w:val="20"/>
          <w:lang w:val="en-US" w:bidi="ar-SA"/>
          <w14:ligatures w14:val="none"/>
        </w:rPr>
        <w:t>Biegli rewidenci</w:t>
      </w:r>
    </w:p>
    <w:p w14:paraId="65BC863D" w14:textId="77777777" w:rsidR="004843DD" w:rsidRPr="00C60F03" w:rsidRDefault="004843DD" w:rsidP="004843DD">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 xml:space="preserve">BFS Revisions- und Treuhand GmbH Wirtschaftsprüfungsgesellschaft z siedzibą przy Berliner Straße 75, 63065 Offenbach am Main, Niemcy została wybrana na biegłego rewidenta Emitenta na rok obrotowy zakończony 31 </w:t>
      </w:r>
      <w:r w:rsidRPr="00C60F03">
        <w:rPr>
          <w:rFonts w:ascii="Times New Roman" w:eastAsia="MS Mincho" w:hAnsi="Times New Roman" w:cs="Times New Roman"/>
          <w:kern w:val="0"/>
          <w:sz w:val="20"/>
          <w:szCs w:val="20"/>
          <w:lang w:val="en-US" w:bidi="ar-SA"/>
          <w14:ligatures w14:val="none"/>
        </w:rPr>
        <w:lastRenderedPageBreak/>
        <w:t>grudnia 2021 r. BFS Revisions- und Treuhand GmbH Wirtschaftsprüfungsgesellschaft jest członkiem niemieckiej izby biegłych rewidentów (</w:t>
      </w:r>
      <w:r w:rsidRPr="00C60F03">
        <w:rPr>
          <w:rFonts w:ascii="Times New Roman" w:eastAsia="MS Mincho" w:hAnsi="Times New Roman" w:cs="Times New Roman"/>
          <w:i/>
          <w:iCs/>
          <w:kern w:val="0"/>
          <w:sz w:val="20"/>
          <w:szCs w:val="20"/>
          <w:lang w:val="en-US" w:bidi="ar-SA"/>
          <w14:ligatures w14:val="none"/>
        </w:rPr>
        <w:t>Wirtschaftsprüferkammer</w:t>
      </w:r>
      <w:r w:rsidRPr="00C60F03">
        <w:rPr>
          <w:rFonts w:ascii="Times New Roman" w:eastAsia="MS Mincho" w:hAnsi="Times New Roman" w:cs="Times New Roman"/>
          <w:kern w:val="0"/>
          <w:sz w:val="20"/>
          <w:szCs w:val="20"/>
          <w:lang w:val="en-US" w:bidi="ar-SA"/>
          <w14:ligatures w14:val="none"/>
        </w:rPr>
        <w:t>).</w:t>
      </w:r>
    </w:p>
    <w:p w14:paraId="0868CC4D" w14:textId="22512A5D" w:rsidR="004843DD" w:rsidRPr="00C60F03" w:rsidRDefault="004843DD" w:rsidP="00D54364">
      <w:pPr>
        <w:spacing w:after="60" w:line="240" w:lineRule="auto"/>
        <w:jc w:val="both"/>
        <w:rPr>
          <w:rFonts w:ascii="Times New Roman" w:eastAsia="MS Mincho" w:hAnsi="Times New Roman" w:cs="Times New Roman"/>
          <w:kern w:val="0"/>
          <w:sz w:val="20"/>
          <w:szCs w:val="20"/>
          <w:lang w:bidi="ar-SA"/>
          <w14:ligatures w14:val="none"/>
        </w:rPr>
      </w:pPr>
      <w:r w:rsidRPr="00C60F03">
        <w:rPr>
          <w:rFonts w:ascii="Times New Roman" w:eastAsia="MS Mincho" w:hAnsi="Times New Roman" w:cs="Times New Roman"/>
          <w:kern w:val="0"/>
          <w:sz w:val="20"/>
          <w:szCs w:val="20"/>
          <w:lang w:bidi="ar-SA"/>
          <w14:ligatures w14:val="none"/>
        </w:rPr>
        <w:t>Na rok obrotowy zakończony 31 grudnia 2022 r. biegłymi rewidentami Emitenta są Deloitte GmbH Wirtschaftsprüfungsgesellschaft z siedzibą przy Europa-Allee 91, 60486 Frankfurt am Main, Niemcy. Deloitte GmbH Wirtschaftsprüfungsgesellschaft jest członkiem niemieckiej izby biegłych rewidentów (</w:t>
      </w:r>
      <w:r w:rsidRPr="00C60F03">
        <w:rPr>
          <w:rFonts w:ascii="Times New Roman" w:eastAsia="MS Mincho" w:hAnsi="Times New Roman" w:cs="Times New Roman"/>
          <w:i/>
          <w:iCs/>
          <w:kern w:val="0"/>
          <w:sz w:val="20"/>
          <w:szCs w:val="20"/>
          <w:lang w:bidi="ar-SA"/>
          <w14:ligatures w14:val="none"/>
        </w:rPr>
        <w:t>Wirtschaftsprüferkammer</w:t>
      </w:r>
      <w:r w:rsidRPr="00C60F03">
        <w:rPr>
          <w:rFonts w:ascii="Times New Roman" w:eastAsia="MS Mincho" w:hAnsi="Times New Roman" w:cs="Times New Roman"/>
          <w:kern w:val="0"/>
          <w:sz w:val="20"/>
          <w:szCs w:val="20"/>
          <w:lang w:bidi="ar-SA"/>
          <w14:ligatures w14:val="none"/>
        </w:rPr>
        <w:t>).</w:t>
      </w:r>
    </w:p>
    <w:p w14:paraId="199E715F" w14:textId="2E741C8A" w:rsidR="00AF19C9" w:rsidRPr="00C60F03" w:rsidRDefault="00D54364" w:rsidP="00AF19C9">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C60F03">
        <w:rPr>
          <w:rFonts w:ascii="Times New Roman" w:eastAsia="Times New Roman" w:hAnsi="Times New Roman" w:cs="Times New Roman"/>
          <w:b/>
          <w:bCs/>
          <w:color w:val="000000"/>
          <w:kern w:val="0"/>
          <w:sz w:val="20"/>
          <w:szCs w:val="20"/>
          <w:lang w:val="es-ES" w:bidi="ar-SA"/>
          <w14:ligatures w14:val="none"/>
        </w:rPr>
        <w:t>Jakie są kluczowe informacje dotyczące emitenta?</w:t>
      </w:r>
    </w:p>
    <w:p w14:paraId="2A9CC995" w14:textId="77777777" w:rsidR="00AB35FF" w:rsidRPr="00C60F03" w:rsidRDefault="00AB35FF" w:rsidP="00AB35FF">
      <w:pPr>
        <w:spacing w:after="60" w:line="240" w:lineRule="auto"/>
        <w:jc w:val="both"/>
        <w:rPr>
          <w:rFonts w:ascii="Times New Roman" w:eastAsia="MS Mincho" w:hAnsi="Times New Roman" w:cs="Times New Roman"/>
          <w:kern w:val="0"/>
          <w:sz w:val="20"/>
          <w:szCs w:val="20"/>
          <w:lang w:val="es-ES" w:bidi="ar-SA"/>
          <w14:ligatures w14:val="none"/>
        </w:rPr>
      </w:pPr>
      <w:r w:rsidRPr="00C60F03">
        <w:rPr>
          <w:rFonts w:ascii="Times New Roman" w:eastAsia="MS Mincho" w:hAnsi="Times New Roman" w:cs="Times New Roman"/>
          <w:kern w:val="0"/>
          <w:sz w:val="20"/>
          <w:szCs w:val="20"/>
          <w:lang w:val="es-ES" w:bidi="ar-SA"/>
          <w14:ligatures w14:val="none"/>
        </w:rPr>
        <w:t>Informacje finansowe Emitenta zawarte są w rocznych sprawozdaniach finansowych Emitenta na dzień 31 grudnia 2021 r. i 31 grudnia 2022 r. (zwane łącznie „</w:t>
      </w:r>
      <w:r w:rsidRPr="00C60F03">
        <w:rPr>
          <w:rFonts w:ascii="Times New Roman" w:eastAsia="MS Mincho" w:hAnsi="Times New Roman" w:cs="Times New Roman"/>
          <w:b/>
          <w:bCs/>
          <w:kern w:val="0"/>
          <w:sz w:val="20"/>
          <w:szCs w:val="20"/>
          <w:lang w:val="es-ES" w:bidi="ar-SA"/>
          <w14:ligatures w14:val="none"/>
        </w:rPr>
        <w:t>Roczne sprawozdania finansowe</w:t>
      </w:r>
      <w:r w:rsidRPr="00C60F03">
        <w:rPr>
          <w:rFonts w:ascii="Times New Roman" w:eastAsia="MS Mincho" w:hAnsi="Times New Roman" w:cs="Times New Roman"/>
          <w:kern w:val="0"/>
          <w:sz w:val="20"/>
          <w:szCs w:val="20"/>
          <w:lang w:val="es-ES" w:bidi="ar-SA"/>
          <w14:ligatures w14:val="none"/>
        </w:rPr>
        <w:t>”) oraz w śródrocznych sprawozdaniach finansowych Emitenta na dzień 30 czerwca 2022 r. i 30 czerwca 2023 r. („</w:t>
      </w:r>
      <w:r w:rsidRPr="00C60F03">
        <w:rPr>
          <w:rFonts w:ascii="Times New Roman" w:eastAsia="MS Mincho" w:hAnsi="Times New Roman" w:cs="Times New Roman"/>
          <w:b/>
          <w:bCs/>
          <w:kern w:val="0"/>
          <w:sz w:val="20"/>
          <w:szCs w:val="20"/>
          <w:lang w:val="es-ES" w:bidi="ar-SA"/>
          <w14:ligatures w14:val="none"/>
        </w:rPr>
        <w:t>Śródroczne sprawozdania finansowe</w:t>
      </w:r>
      <w:r w:rsidRPr="00C60F03">
        <w:rPr>
          <w:rFonts w:ascii="Times New Roman" w:eastAsia="MS Mincho" w:hAnsi="Times New Roman" w:cs="Times New Roman"/>
          <w:kern w:val="0"/>
          <w:sz w:val="20"/>
          <w:szCs w:val="20"/>
          <w:lang w:val="es-ES" w:bidi="ar-SA"/>
          <w14:ligatures w14:val="none"/>
        </w:rPr>
        <w:t>” oraz łącznie z Rocznymi sprawozdaniami finansowymi, „</w:t>
      </w:r>
      <w:r w:rsidRPr="00C60F03">
        <w:rPr>
          <w:rFonts w:ascii="Times New Roman" w:eastAsia="MS Mincho" w:hAnsi="Times New Roman" w:cs="Times New Roman"/>
          <w:b/>
          <w:bCs/>
          <w:kern w:val="0"/>
          <w:sz w:val="20"/>
          <w:szCs w:val="20"/>
          <w:lang w:val="es-ES" w:bidi="ar-SA"/>
          <w14:ligatures w14:val="none"/>
        </w:rPr>
        <w:t>Sprawozdania finansowe</w:t>
      </w:r>
      <w:r w:rsidRPr="00C60F03">
        <w:rPr>
          <w:rFonts w:ascii="Times New Roman" w:eastAsia="MS Mincho" w:hAnsi="Times New Roman" w:cs="Times New Roman"/>
          <w:kern w:val="0"/>
          <w:sz w:val="20"/>
          <w:szCs w:val="20"/>
          <w:lang w:val="es-ES" w:bidi="ar-SA"/>
          <w14:ligatures w14:val="none"/>
        </w:rPr>
        <w:t>”).</w:t>
      </w:r>
    </w:p>
    <w:p w14:paraId="5BEE24BB" w14:textId="77777777" w:rsidR="00AB35FF" w:rsidRPr="00C60F03" w:rsidRDefault="00AB35FF" w:rsidP="00AB35FF">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Sprawozdania finansowe sporządzono zgodnie z Międzynarodowymi Standardami Sprawozdawczości Finansowej („</w:t>
      </w:r>
      <w:r w:rsidRPr="00C60F03">
        <w:rPr>
          <w:rFonts w:ascii="Times New Roman" w:eastAsia="MS Mincho" w:hAnsi="Times New Roman" w:cs="Times New Roman"/>
          <w:b/>
          <w:bCs/>
          <w:kern w:val="0"/>
          <w:sz w:val="20"/>
          <w:szCs w:val="20"/>
          <w:lang w:val="en-US" w:bidi="ar-SA"/>
          <w14:ligatures w14:val="none"/>
        </w:rPr>
        <w:t>MSSF</w:t>
      </w:r>
      <w:r w:rsidRPr="00C60F03">
        <w:rPr>
          <w:rFonts w:ascii="Times New Roman" w:eastAsia="MS Mincho" w:hAnsi="Times New Roman" w:cs="Times New Roman"/>
          <w:kern w:val="0"/>
          <w:sz w:val="20"/>
          <w:szCs w:val="20"/>
          <w:lang w:val="en-US" w:bidi="ar-SA"/>
          <w14:ligatures w14:val="none"/>
        </w:rPr>
        <w:t>”) przyjętymi w Unii Europejskiej („</w:t>
      </w:r>
      <w:r w:rsidRPr="00C60F03">
        <w:rPr>
          <w:rFonts w:ascii="Times New Roman" w:eastAsia="MS Mincho" w:hAnsi="Times New Roman" w:cs="Times New Roman"/>
          <w:b/>
          <w:bCs/>
          <w:kern w:val="0"/>
          <w:sz w:val="20"/>
          <w:szCs w:val="20"/>
          <w:lang w:val="en-US" w:bidi="ar-SA"/>
          <w14:ligatures w14:val="none"/>
        </w:rPr>
        <w:t>UE</w:t>
      </w:r>
      <w:r w:rsidRPr="00C60F03">
        <w:rPr>
          <w:rFonts w:ascii="Times New Roman" w:eastAsia="MS Mincho" w:hAnsi="Times New Roman" w:cs="Times New Roman"/>
          <w:kern w:val="0"/>
          <w:sz w:val="20"/>
          <w:szCs w:val="20"/>
          <w:lang w:val="en-US" w:bidi="ar-SA"/>
          <w14:ligatures w14:val="none"/>
        </w:rPr>
        <w:t>”).</w:t>
      </w:r>
    </w:p>
    <w:p w14:paraId="25BB6854" w14:textId="77777777" w:rsidR="000C7669" w:rsidRPr="00C60F03" w:rsidRDefault="000C7669" w:rsidP="000C7669">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Roczne sprawozdania finansowe zostały zbadane i wydana została opinia biegłego rewidenta bez zastrzeżeń.</w:t>
      </w:r>
    </w:p>
    <w:p w14:paraId="4FD072D8" w14:textId="1AF23647" w:rsidR="00AF19C9" w:rsidRPr="00C60F03" w:rsidRDefault="000C7669" w:rsidP="000C7669">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Śródroczne sprawozdania finansowe nie zostały zbadane ani poddane przeglądowi przez rewidentów Emitenta. Poniższe wybrane informacje finansowe przygotowano na podstawie i zaczerpnięto ze Sprawozdań Finansowych.</w:t>
      </w:r>
    </w:p>
    <w:p w14:paraId="303DCA71" w14:textId="77777777" w:rsidR="000C7669" w:rsidRPr="00C60F03" w:rsidRDefault="000C7669" w:rsidP="000C7669">
      <w:pPr>
        <w:spacing w:after="60" w:line="240" w:lineRule="auto"/>
        <w:jc w:val="both"/>
        <w:rPr>
          <w:rFonts w:ascii="Times New Roman" w:eastAsia="MS Mincho" w:hAnsi="Times New Roman" w:cs="Times New Roman"/>
          <w:kern w:val="0"/>
          <w:sz w:val="20"/>
          <w:szCs w:val="20"/>
          <w:lang w:val="en-US" w:bidi="ar-SA"/>
          <w14:ligatures w14:val="none"/>
        </w:rPr>
      </w:pPr>
    </w:p>
    <w:tbl>
      <w:tblPr>
        <w:tblStyle w:val="TableGrid1"/>
        <w:tblW w:w="9049" w:type="dxa"/>
        <w:tblInd w:w="28" w:type="dxa"/>
        <w:tblLook w:val="04A0" w:firstRow="1" w:lastRow="0" w:firstColumn="1" w:lastColumn="0" w:noHBand="0" w:noVBand="1"/>
      </w:tblPr>
      <w:tblGrid>
        <w:gridCol w:w="2621"/>
        <w:gridCol w:w="1639"/>
        <w:gridCol w:w="1639"/>
        <w:gridCol w:w="1575"/>
        <w:gridCol w:w="1575"/>
      </w:tblGrid>
      <w:tr w:rsidR="00AF19C9" w:rsidRPr="00C60F03" w14:paraId="694FAA00" w14:textId="77777777" w:rsidTr="00AF19C9">
        <w:tc>
          <w:tcPr>
            <w:tcW w:w="2666" w:type="dxa"/>
            <w:tcBorders>
              <w:top w:val="nil"/>
              <w:left w:val="nil"/>
            </w:tcBorders>
          </w:tcPr>
          <w:p w14:paraId="0AD2B5A5" w14:textId="5BC80A44" w:rsidR="00AF19C9" w:rsidRPr="00C60F03" w:rsidRDefault="000C7669" w:rsidP="000C7669">
            <w:pPr>
              <w:spacing w:after="180"/>
              <w:rPr>
                <w:rFonts w:ascii="Times New Roman" w:eastAsia="Calibri" w:hAnsi="Times New Roman" w:cs="Times New Roman"/>
                <w:b/>
                <w:sz w:val="20"/>
                <w:szCs w:val="20"/>
              </w:rPr>
            </w:pPr>
            <w:r w:rsidRPr="00C60F03">
              <w:rPr>
                <w:rFonts w:ascii="Times New Roman" w:eastAsia="Calibri" w:hAnsi="Times New Roman" w:cs="Times New Roman"/>
                <w:b/>
                <w:sz w:val="20"/>
                <w:szCs w:val="20"/>
                <w:lang w:val="de-DE"/>
              </w:rPr>
              <w:t xml:space="preserve">Rachunek wyników </w:t>
            </w:r>
            <w:r w:rsidRPr="00C60F03">
              <w:rPr>
                <w:rFonts w:ascii="Times New Roman" w:eastAsia="Calibri" w:hAnsi="Times New Roman" w:cs="Times New Roman"/>
                <w:b/>
                <w:sz w:val="20"/>
                <w:szCs w:val="20"/>
                <w:lang w:val="de-DE"/>
              </w:rPr>
              <w:br/>
              <w:t>(w EUR)</w:t>
            </w:r>
          </w:p>
        </w:tc>
        <w:tc>
          <w:tcPr>
            <w:tcW w:w="1595" w:type="dxa"/>
            <w:shd w:val="clear" w:color="auto" w:fill="D9D9D9"/>
          </w:tcPr>
          <w:p w14:paraId="508F2101" w14:textId="68BDAF9D" w:rsidR="00AF19C9" w:rsidRPr="00C60F03" w:rsidRDefault="00996720" w:rsidP="00252C26">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rPr>
              <w:t>Sześć miesięcy zakończonych</w:t>
            </w:r>
            <w:r w:rsidR="00AF19C9" w:rsidRPr="00C60F03">
              <w:rPr>
                <w:rFonts w:ascii="Times New Roman" w:eastAsia="Calibri" w:hAnsi="Times New Roman" w:cs="Times New Roman"/>
                <w:b/>
                <w:sz w:val="20"/>
                <w:szCs w:val="20"/>
              </w:rPr>
              <w:br/>
            </w:r>
            <w:r w:rsidR="00252C26" w:rsidRPr="00C60F03">
              <w:rPr>
                <w:rFonts w:ascii="Times New Roman" w:eastAsia="Calibri" w:hAnsi="Times New Roman" w:cs="Times New Roman"/>
                <w:b/>
                <w:sz w:val="20"/>
                <w:szCs w:val="20"/>
              </w:rPr>
              <w:t xml:space="preserve">30 czerwca </w:t>
            </w:r>
            <w:r w:rsidR="00362DD7" w:rsidRPr="00C60F03">
              <w:rPr>
                <w:rFonts w:ascii="Times New Roman" w:eastAsia="Calibri" w:hAnsi="Times New Roman" w:cs="Times New Roman"/>
                <w:b/>
                <w:sz w:val="20"/>
                <w:szCs w:val="20"/>
              </w:rPr>
              <w:br/>
            </w:r>
            <w:r w:rsidR="00AF19C9" w:rsidRPr="00C60F03">
              <w:rPr>
                <w:rFonts w:ascii="Times New Roman" w:eastAsia="Calibri" w:hAnsi="Times New Roman" w:cs="Times New Roman"/>
                <w:b/>
                <w:sz w:val="20"/>
                <w:szCs w:val="20"/>
              </w:rPr>
              <w:t>2023</w:t>
            </w:r>
            <w:r w:rsidR="00252C26" w:rsidRPr="00C60F03">
              <w:rPr>
                <w:rFonts w:ascii="Times New Roman" w:eastAsia="Calibri" w:hAnsi="Times New Roman" w:cs="Times New Roman"/>
                <w:b/>
                <w:sz w:val="20"/>
                <w:szCs w:val="20"/>
              </w:rPr>
              <w:t xml:space="preserve"> r.</w:t>
            </w:r>
            <w:r w:rsidR="00AF19C9" w:rsidRPr="00C60F03">
              <w:rPr>
                <w:rFonts w:ascii="Times New Roman" w:eastAsia="Calibri" w:hAnsi="Times New Roman" w:cs="Times New Roman"/>
                <w:b/>
                <w:sz w:val="20"/>
                <w:szCs w:val="20"/>
              </w:rPr>
              <w:br/>
              <w:t>(</w:t>
            </w:r>
            <w:r w:rsidR="00362DD7" w:rsidRPr="00C60F03">
              <w:rPr>
                <w:rFonts w:ascii="Times New Roman" w:eastAsia="Calibri" w:hAnsi="Times New Roman" w:cs="Times New Roman"/>
                <w:b/>
                <w:sz w:val="20"/>
                <w:szCs w:val="20"/>
              </w:rPr>
              <w:t>nieaudytowane</w:t>
            </w:r>
            <w:r w:rsidR="00AF19C9" w:rsidRPr="00C60F03">
              <w:rPr>
                <w:rFonts w:ascii="Times New Roman" w:eastAsia="Calibri" w:hAnsi="Times New Roman" w:cs="Times New Roman"/>
                <w:b/>
                <w:sz w:val="20"/>
                <w:szCs w:val="20"/>
              </w:rPr>
              <w:t>)</w:t>
            </w:r>
          </w:p>
        </w:tc>
        <w:tc>
          <w:tcPr>
            <w:tcW w:w="1596" w:type="dxa"/>
            <w:shd w:val="clear" w:color="auto" w:fill="D9D9D9"/>
          </w:tcPr>
          <w:p w14:paraId="1DF207B2" w14:textId="16F854BC" w:rsidR="00AF19C9" w:rsidRPr="00C60F03" w:rsidRDefault="00996720" w:rsidP="00252C26">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rPr>
              <w:t>Sześć miesięcy zakończonych</w:t>
            </w:r>
            <w:r w:rsidR="00AF19C9" w:rsidRPr="00C60F03">
              <w:rPr>
                <w:rFonts w:ascii="Times New Roman" w:eastAsia="Calibri" w:hAnsi="Times New Roman" w:cs="Times New Roman"/>
                <w:b/>
                <w:sz w:val="20"/>
                <w:szCs w:val="20"/>
              </w:rPr>
              <w:br/>
            </w:r>
            <w:r w:rsidR="00252C26" w:rsidRPr="00C60F03">
              <w:rPr>
                <w:rFonts w:ascii="Times New Roman" w:eastAsia="Calibri" w:hAnsi="Times New Roman" w:cs="Times New Roman"/>
                <w:b/>
                <w:sz w:val="20"/>
                <w:szCs w:val="20"/>
              </w:rPr>
              <w:t xml:space="preserve">30 czerwca </w:t>
            </w:r>
            <w:r w:rsidR="00362DD7" w:rsidRPr="00C60F03">
              <w:rPr>
                <w:rFonts w:ascii="Times New Roman" w:eastAsia="Calibri" w:hAnsi="Times New Roman" w:cs="Times New Roman"/>
                <w:b/>
                <w:sz w:val="20"/>
                <w:szCs w:val="20"/>
              </w:rPr>
              <w:br/>
            </w:r>
            <w:r w:rsidR="00AF19C9" w:rsidRPr="00C60F03">
              <w:rPr>
                <w:rFonts w:ascii="Times New Roman" w:eastAsia="Calibri" w:hAnsi="Times New Roman" w:cs="Times New Roman"/>
                <w:b/>
                <w:sz w:val="20"/>
                <w:szCs w:val="20"/>
              </w:rPr>
              <w:t>2022</w:t>
            </w:r>
            <w:r w:rsidR="00252C26" w:rsidRPr="00C60F03">
              <w:rPr>
                <w:rFonts w:ascii="Times New Roman" w:eastAsia="Calibri" w:hAnsi="Times New Roman" w:cs="Times New Roman"/>
                <w:b/>
                <w:sz w:val="20"/>
                <w:szCs w:val="20"/>
              </w:rPr>
              <w:t xml:space="preserve"> r.</w:t>
            </w:r>
            <w:r w:rsidR="00AF19C9" w:rsidRPr="00C60F03">
              <w:rPr>
                <w:rFonts w:ascii="Times New Roman" w:eastAsia="Calibri" w:hAnsi="Times New Roman" w:cs="Times New Roman"/>
                <w:b/>
                <w:sz w:val="20"/>
                <w:szCs w:val="20"/>
              </w:rPr>
              <w:br/>
              <w:t>(</w:t>
            </w:r>
            <w:r w:rsidR="00362DD7" w:rsidRPr="00C60F03">
              <w:rPr>
                <w:rFonts w:ascii="Times New Roman" w:eastAsia="Calibri" w:hAnsi="Times New Roman" w:cs="Times New Roman"/>
                <w:b/>
                <w:sz w:val="20"/>
                <w:szCs w:val="20"/>
              </w:rPr>
              <w:t>nieaudytowane</w:t>
            </w:r>
            <w:r w:rsidR="00AF19C9" w:rsidRPr="00C60F03">
              <w:rPr>
                <w:rFonts w:ascii="Times New Roman" w:eastAsia="Calibri" w:hAnsi="Times New Roman" w:cs="Times New Roman"/>
                <w:b/>
                <w:sz w:val="20"/>
                <w:szCs w:val="20"/>
              </w:rPr>
              <w:t>)</w:t>
            </w:r>
          </w:p>
        </w:tc>
        <w:tc>
          <w:tcPr>
            <w:tcW w:w="1596" w:type="dxa"/>
            <w:shd w:val="clear" w:color="auto" w:fill="D9D9D9"/>
          </w:tcPr>
          <w:p w14:paraId="691DF374" w14:textId="0CE4AFC7" w:rsidR="00AF19C9" w:rsidRPr="00C60F03" w:rsidRDefault="00AF19C9" w:rsidP="00AF19C9">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rPr>
              <w:t>2022</w:t>
            </w:r>
            <w:r w:rsidR="007510AB" w:rsidRPr="00C60F03">
              <w:rPr>
                <w:rFonts w:ascii="Times New Roman" w:eastAsia="Calibri" w:hAnsi="Times New Roman" w:cs="Times New Roman"/>
                <w:b/>
                <w:sz w:val="20"/>
                <w:szCs w:val="20"/>
              </w:rPr>
              <w:t xml:space="preserve"> r.</w:t>
            </w:r>
          </w:p>
        </w:tc>
        <w:tc>
          <w:tcPr>
            <w:tcW w:w="1596" w:type="dxa"/>
            <w:shd w:val="clear" w:color="auto" w:fill="D9D9D9"/>
          </w:tcPr>
          <w:p w14:paraId="3D11A765" w14:textId="32BE5DED" w:rsidR="00AF19C9" w:rsidRPr="00C60F03" w:rsidRDefault="00AF19C9" w:rsidP="00AF19C9">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rPr>
              <w:t>2021</w:t>
            </w:r>
            <w:r w:rsidR="007510AB" w:rsidRPr="00C60F03">
              <w:rPr>
                <w:rFonts w:ascii="Times New Roman" w:eastAsia="Calibri" w:hAnsi="Times New Roman" w:cs="Times New Roman"/>
                <w:b/>
                <w:sz w:val="20"/>
                <w:szCs w:val="20"/>
              </w:rPr>
              <w:t xml:space="preserve"> r.</w:t>
            </w:r>
          </w:p>
        </w:tc>
      </w:tr>
      <w:tr w:rsidR="00AF19C9" w:rsidRPr="00C60F03" w14:paraId="740DB53C" w14:textId="77777777" w:rsidTr="0040092D">
        <w:tc>
          <w:tcPr>
            <w:tcW w:w="2666" w:type="dxa"/>
          </w:tcPr>
          <w:p w14:paraId="3039B9D0" w14:textId="429FC18F" w:rsidR="00AF19C9" w:rsidRPr="00C60F03" w:rsidRDefault="00971213" w:rsidP="00971213">
            <w:pPr>
              <w:spacing w:after="180"/>
              <w:rPr>
                <w:rFonts w:ascii="Times New Roman" w:eastAsia="Calibri" w:hAnsi="Times New Roman" w:cs="Times New Roman"/>
                <w:sz w:val="20"/>
                <w:szCs w:val="20"/>
                <w:lang w:val="de-DE"/>
              </w:rPr>
            </w:pPr>
            <w:r w:rsidRPr="00C60F03">
              <w:rPr>
                <w:rFonts w:ascii="Times New Roman" w:eastAsia="Calibri" w:hAnsi="Times New Roman" w:cs="Times New Roman"/>
                <w:sz w:val="20"/>
                <w:szCs w:val="20"/>
                <w:lang w:val="de-DE"/>
              </w:rPr>
              <w:t>Zysk/strata z działalności operacyjnej</w:t>
            </w:r>
          </w:p>
        </w:tc>
        <w:tc>
          <w:tcPr>
            <w:tcW w:w="1595" w:type="dxa"/>
            <w:shd w:val="clear" w:color="auto" w:fill="auto"/>
          </w:tcPr>
          <w:p w14:paraId="319A250C" w14:textId="271887E5"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207,540</w:t>
            </w:r>
          </w:p>
        </w:tc>
        <w:tc>
          <w:tcPr>
            <w:tcW w:w="1596" w:type="dxa"/>
            <w:shd w:val="clear" w:color="auto" w:fill="auto"/>
          </w:tcPr>
          <w:p w14:paraId="018C17F4" w14:textId="732231AF"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280,349</w:t>
            </w:r>
          </w:p>
        </w:tc>
        <w:tc>
          <w:tcPr>
            <w:tcW w:w="1596" w:type="dxa"/>
            <w:shd w:val="clear" w:color="auto" w:fill="auto"/>
          </w:tcPr>
          <w:p w14:paraId="767F8FE7" w14:textId="01D8EA15"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142,298</w:t>
            </w:r>
          </w:p>
        </w:tc>
        <w:tc>
          <w:tcPr>
            <w:tcW w:w="1596" w:type="dxa"/>
            <w:shd w:val="clear" w:color="auto" w:fill="auto"/>
          </w:tcPr>
          <w:p w14:paraId="16C08DD4" w14:textId="7998E37E"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109,751</w:t>
            </w:r>
          </w:p>
        </w:tc>
      </w:tr>
    </w:tbl>
    <w:p w14:paraId="4CEEB9FB" w14:textId="77777777" w:rsidR="00AF19C9" w:rsidRPr="00C60F03" w:rsidRDefault="00AF19C9" w:rsidP="00AF19C9">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02"/>
        <w:gridCol w:w="1639"/>
        <w:gridCol w:w="1639"/>
        <w:gridCol w:w="1579"/>
        <w:gridCol w:w="1585"/>
      </w:tblGrid>
      <w:tr w:rsidR="00AF19C9" w:rsidRPr="00C60F03" w14:paraId="3583C50B" w14:textId="77777777" w:rsidTr="00AF19C9">
        <w:tc>
          <w:tcPr>
            <w:tcW w:w="2666" w:type="dxa"/>
            <w:tcBorders>
              <w:top w:val="nil"/>
              <w:left w:val="nil"/>
            </w:tcBorders>
          </w:tcPr>
          <w:p w14:paraId="7D619D55" w14:textId="698DC0A0" w:rsidR="00AF19C9" w:rsidRPr="00C60F03" w:rsidRDefault="00971213" w:rsidP="00971213">
            <w:pPr>
              <w:spacing w:after="180"/>
              <w:rPr>
                <w:rFonts w:ascii="Times New Roman" w:eastAsia="Calibri" w:hAnsi="Times New Roman" w:cs="Times New Roman"/>
                <w:b/>
                <w:sz w:val="20"/>
                <w:szCs w:val="20"/>
              </w:rPr>
            </w:pPr>
            <w:r w:rsidRPr="00C60F03">
              <w:rPr>
                <w:rFonts w:ascii="Times New Roman" w:eastAsia="Calibri" w:hAnsi="Times New Roman" w:cs="Times New Roman"/>
                <w:b/>
                <w:sz w:val="20"/>
                <w:szCs w:val="20"/>
                <w:lang w:val="de-DE"/>
              </w:rPr>
              <w:t xml:space="preserve">Bilans </w:t>
            </w:r>
            <w:r w:rsidRPr="00C60F03">
              <w:rPr>
                <w:rFonts w:ascii="Times New Roman" w:eastAsia="Calibri" w:hAnsi="Times New Roman" w:cs="Times New Roman"/>
                <w:b/>
                <w:sz w:val="20"/>
                <w:szCs w:val="20"/>
                <w:lang w:val="de-DE"/>
              </w:rPr>
              <w:br/>
              <w:t>(w EUR)</w:t>
            </w:r>
          </w:p>
        </w:tc>
        <w:tc>
          <w:tcPr>
            <w:tcW w:w="1594" w:type="dxa"/>
            <w:shd w:val="clear" w:color="auto" w:fill="D9D9D9"/>
          </w:tcPr>
          <w:p w14:paraId="24DDCD34" w14:textId="0160374C" w:rsidR="00AF19C9" w:rsidRPr="00C60F03" w:rsidRDefault="00252C26" w:rsidP="00252C26">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lang w:val="de-DE"/>
              </w:rPr>
              <w:t xml:space="preserve">30 czerwca </w:t>
            </w:r>
            <w:r w:rsidR="00362DD7" w:rsidRPr="00C60F03">
              <w:rPr>
                <w:rFonts w:ascii="Times New Roman" w:eastAsia="Calibri" w:hAnsi="Times New Roman" w:cs="Times New Roman"/>
                <w:b/>
                <w:sz w:val="20"/>
                <w:szCs w:val="20"/>
                <w:lang w:val="de-DE"/>
              </w:rPr>
              <w:br/>
            </w:r>
            <w:r w:rsidR="00AF19C9" w:rsidRPr="00C60F03">
              <w:rPr>
                <w:rFonts w:ascii="Times New Roman" w:eastAsia="Calibri" w:hAnsi="Times New Roman" w:cs="Times New Roman"/>
                <w:b/>
                <w:sz w:val="20"/>
                <w:szCs w:val="20"/>
              </w:rPr>
              <w:t>2023</w:t>
            </w:r>
            <w:r w:rsidRPr="00C60F03">
              <w:rPr>
                <w:rFonts w:ascii="Times New Roman" w:eastAsia="Calibri" w:hAnsi="Times New Roman" w:cs="Times New Roman"/>
                <w:b/>
                <w:sz w:val="20"/>
                <w:szCs w:val="20"/>
              </w:rPr>
              <w:t xml:space="preserve"> r.</w:t>
            </w:r>
            <w:r w:rsidR="00AF19C9" w:rsidRPr="00C60F03">
              <w:rPr>
                <w:rFonts w:ascii="Times New Roman" w:eastAsia="Calibri" w:hAnsi="Times New Roman" w:cs="Times New Roman"/>
                <w:b/>
                <w:sz w:val="20"/>
                <w:szCs w:val="20"/>
              </w:rPr>
              <w:br/>
              <w:t>(</w:t>
            </w:r>
            <w:r w:rsidR="00362DD7" w:rsidRPr="00C60F03">
              <w:rPr>
                <w:rFonts w:ascii="Times New Roman" w:eastAsia="Calibri" w:hAnsi="Times New Roman" w:cs="Times New Roman"/>
                <w:b/>
                <w:sz w:val="20"/>
                <w:szCs w:val="20"/>
              </w:rPr>
              <w:t>nieaudytowane</w:t>
            </w:r>
            <w:r w:rsidR="00AF19C9" w:rsidRPr="00C60F03">
              <w:rPr>
                <w:rFonts w:ascii="Times New Roman" w:eastAsia="Calibri" w:hAnsi="Times New Roman" w:cs="Times New Roman"/>
                <w:b/>
                <w:sz w:val="20"/>
                <w:szCs w:val="20"/>
              </w:rPr>
              <w:t>)</w:t>
            </w:r>
          </w:p>
        </w:tc>
        <w:tc>
          <w:tcPr>
            <w:tcW w:w="1594" w:type="dxa"/>
            <w:shd w:val="clear" w:color="auto" w:fill="D9D9D9"/>
          </w:tcPr>
          <w:p w14:paraId="6C15F92A" w14:textId="7333CA2C" w:rsidR="00AF19C9" w:rsidRPr="00C60F03" w:rsidRDefault="00252C26" w:rsidP="00252C26">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lang w:val="de-DE"/>
              </w:rPr>
              <w:t xml:space="preserve">30 czerwca </w:t>
            </w:r>
            <w:r w:rsidR="00362DD7" w:rsidRPr="00C60F03">
              <w:rPr>
                <w:rFonts w:ascii="Times New Roman" w:eastAsia="Calibri" w:hAnsi="Times New Roman" w:cs="Times New Roman"/>
                <w:b/>
                <w:sz w:val="20"/>
                <w:szCs w:val="20"/>
                <w:lang w:val="de-DE"/>
              </w:rPr>
              <w:br/>
            </w:r>
            <w:r w:rsidR="00AF19C9" w:rsidRPr="00C60F03">
              <w:rPr>
                <w:rFonts w:ascii="Times New Roman" w:eastAsia="Calibri" w:hAnsi="Times New Roman" w:cs="Times New Roman"/>
                <w:b/>
                <w:sz w:val="20"/>
                <w:szCs w:val="20"/>
              </w:rPr>
              <w:t>2022</w:t>
            </w:r>
            <w:r w:rsidRPr="00C60F03">
              <w:rPr>
                <w:rFonts w:ascii="Times New Roman" w:eastAsia="Calibri" w:hAnsi="Times New Roman" w:cs="Times New Roman"/>
                <w:b/>
                <w:sz w:val="20"/>
                <w:szCs w:val="20"/>
              </w:rPr>
              <w:t xml:space="preserve"> r.</w:t>
            </w:r>
            <w:r w:rsidR="00AF19C9" w:rsidRPr="00C60F03">
              <w:rPr>
                <w:rFonts w:ascii="Times New Roman" w:eastAsia="Calibri" w:hAnsi="Times New Roman" w:cs="Times New Roman"/>
                <w:b/>
                <w:sz w:val="20"/>
                <w:szCs w:val="20"/>
              </w:rPr>
              <w:br/>
              <w:t>(</w:t>
            </w:r>
            <w:r w:rsidR="00362DD7" w:rsidRPr="00C60F03">
              <w:rPr>
                <w:rFonts w:ascii="Times New Roman" w:eastAsia="Calibri" w:hAnsi="Times New Roman" w:cs="Times New Roman"/>
                <w:b/>
                <w:sz w:val="20"/>
                <w:szCs w:val="20"/>
              </w:rPr>
              <w:t>nieaudytowane)</w:t>
            </w:r>
          </w:p>
        </w:tc>
        <w:tc>
          <w:tcPr>
            <w:tcW w:w="1595" w:type="dxa"/>
            <w:shd w:val="clear" w:color="auto" w:fill="D9D9D9"/>
          </w:tcPr>
          <w:p w14:paraId="22049FB8" w14:textId="65DE7279" w:rsidR="00AF19C9" w:rsidRPr="00C60F03" w:rsidRDefault="007510AB" w:rsidP="007510AB">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lang w:val="de-DE"/>
              </w:rPr>
              <w:t xml:space="preserve">31 grudnia </w:t>
            </w:r>
            <w:r w:rsidRPr="00C60F03">
              <w:rPr>
                <w:rFonts w:ascii="Times New Roman" w:eastAsia="Calibri" w:hAnsi="Times New Roman" w:cs="Times New Roman"/>
                <w:b/>
                <w:sz w:val="20"/>
                <w:szCs w:val="20"/>
                <w:lang w:val="de-DE"/>
              </w:rPr>
              <w:br/>
            </w:r>
            <w:r w:rsidR="00AF19C9" w:rsidRPr="00C60F03">
              <w:rPr>
                <w:rFonts w:ascii="Times New Roman" w:eastAsia="Calibri" w:hAnsi="Times New Roman" w:cs="Times New Roman"/>
                <w:b/>
                <w:sz w:val="20"/>
                <w:szCs w:val="20"/>
              </w:rPr>
              <w:t>2022</w:t>
            </w:r>
            <w:r w:rsidRPr="00C60F03">
              <w:rPr>
                <w:rFonts w:ascii="Times New Roman" w:eastAsia="Calibri" w:hAnsi="Times New Roman" w:cs="Times New Roman"/>
                <w:b/>
                <w:sz w:val="20"/>
                <w:szCs w:val="20"/>
              </w:rPr>
              <w:t xml:space="preserve"> r.</w:t>
            </w:r>
          </w:p>
        </w:tc>
        <w:tc>
          <w:tcPr>
            <w:tcW w:w="1595" w:type="dxa"/>
            <w:shd w:val="clear" w:color="auto" w:fill="D9D9D9"/>
          </w:tcPr>
          <w:p w14:paraId="26701935" w14:textId="1D5EB1B6" w:rsidR="00AF19C9" w:rsidRPr="00C60F03" w:rsidRDefault="007510AB" w:rsidP="007510AB">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lang w:val="de-DE"/>
              </w:rPr>
              <w:t xml:space="preserve">31 grudnia </w:t>
            </w:r>
            <w:r w:rsidRPr="00C60F03">
              <w:rPr>
                <w:rFonts w:ascii="Times New Roman" w:eastAsia="Calibri" w:hAnsi="Times New Roman" w:cs="Times New Roman"/>
                <w:b/>
                <w:sz w:val="20"/>
                <w:szCs w:val="20"/>
                <w:lang w:val="de-DE"/>
              </w:rPr>
              <w:br/>
            </w:r>
            <w:r w:rsidR="00AF19C9" w:rsidRPr="00C60F03">
              <w:rPr>
                <w:rFonts w:ascii="Times New Roman" w:eastAsia="Calibri" w:hAnsi="Times New Roman" w:cs="Times New Roman"/>
                <w:b/>
                <w:sz w:val="20"/>
                <w:szCs w:val="20"/>
              </w:rPr>
              <w:t>2021</w:t>
            </w:r>
            <w:r w:rsidRPr="00C60F03">
              <w:rPr>
                <w:rFonts w:ascii="Times New Roman" w:eastAsia="Calibri" w:hAnsi="Times New Roman" w:cs="Times New Roman"/>
                <w:b/>
                <w:sz w:val="20"/>
                <w:szCs w:val="20"/>
              </w:rPr>
              <w:t xml:space="preserve"> r.</w:t>
            </w:r>
          </w:p>
        </w:tc>
      </w:tr>
      <w:tr w:rsidR="00AF19C9" w:rsidRPr="00C60F03" w14:paraId="07FC72D6" w14:textId="77777777" w:rsidTr="0040092D">
        <w:tc>
          <w:tcPr>
            <w:tcW w:w="2666" w:type="dxa"/>
          </w:tcPr>
          <w:p w14:paraId="1B2B1914" w14:textId="272E870B" w:rsidR="00AF19C9" w:rsidRPr="00C60F03" w:rsidRDefault="00971213" w:rsidP="00971213">
            <w:pPr>
              <w:spacing w:after="180"/>
              <w:rPr>
                <w:rFonts w:ascii="Times New Roman" w:eastAsia="Calibri" w:hAnsi="Times New Roman" w:cs="Times New Roman"/>
                <w:sz w:val="20"/>
                <w:szCs w:val="20"/>
                <w:lang w:val="de-DE"/>
              </w:rPr>
            </w:pPr>
            <w:r w:rsidRPr="00C60F03">
              <w:rPr>
                <w:rFonts w:ascii="Times New Roman" w:eastAsia="Calibri" w:hAnsi="Times New Roman" w:cs="Times New Roman"/>
                <w:sz w:val="20"/>
                <w:szCs w:val="20"/>
                <w:lang w:val="de-DE"/>
              </w:rPr>
              <w:t>Zadłużenie finansowe netto</w:t>
            </w:r>
          </w:p>
        </w:tc>
        <w:tc>
          <w:tcPr>
            <w:tcW w:w="1594" w:type="dxa"/>
          </w:tcPr>
          <w:p w14:paraId="5F6DE530" w14:textId="0AF4CEDE"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671,474,280</w:t>
            </w:r>
          </w:p>
        </w:tc>
        <w:tc>
          <w:tcPr>
            <w:tcW w:w="1594" w:type="dxa"/>
          </w:tcPr>
          <w:p w14:paraId="15FE42E0" w14:textId="24A72E53"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368,787,100</w:t>
            </w:r>
          </w:p>
        </w:tc>
        <w:tc>
          <w:tcPr>
            <w:tcW w:w="1595" w:type="dxa"/>
          </w:tcPr>
          <w:p w14:paraId="56583615" w14:textId="3CA8F700"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297,516,002</w:t>
            </w:r>
          </w:p>
        </w:tc>
        <w:tc>
          <w:tcPr>
            <w:tcW w:w="1595" w:type="dxa"/>
          </w:tcPr>
          <w:p w14:paraId="111FB200" w14:textId="39189477"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1,010,038,300</w:t>
            </w:r>
          </w:p>
        </w:tc>
      </w:tr>
    </w:tbl>
    <w:p w14:paraId="7ACE1E22" w14:textId="77777777" w:rsidR="00AF19C9" w:rsidRPr="00C60F03" w:rsidRDefault="00AF19C9" w:rsidP="00AF19C9">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18"/>
        <w:gridCol w:w="1639"/>
        <w:gridCol w:w="1639"/>
        <w:gridCol w:w="1574"/>
        <w:gridCol w:w="1574"/>
      </w:tblGrid>
      <w:tr w:rsidR="00AF19C9" w:rsidRPr="00C60F03" w14:paraId="4734901B" w14:textId="77777777" w:rsidTr="00AF19C9">
        <w:tc>
          <w:tcPr>
            <w:tcW w:w="2666" w:type="dxa"/>
            <w:tcBorders>
              <w:top w:val="nil"/>
              <w:left w:val="nil"/>
            </w:tcBorders>
          </w:tcPr>
          <w:p w14:paraId="5066E680" w14:textId="0BCC8199" w:rsidR="00AF19C9" w:rsidRPr="00C60F03" w:rsidRDefault="00971213" w:rsidP="00971213">
            <w:pPr>
              <w:spacing w:after="180"/>
              <w:rPr>
                <w:rFonts w:ascii="Times New Roman" w:eastAsia="Calibri" w:hAnsi="Times New Roman" w:cs="Times New Roman"/>
                <w:b/>
                <w:sz w:val="20"/>
                <w:szCs w:val="20"/>
                <w:lang w:val="en-US"/>
              </w:rPr>
            </w:pPr>
            <w:r w:rsidRPr="00C60F03">
              <w:rPr>
                <w:rFonts w:ascii="Times New Roman" w:eastAsia="Calibri" w:hAnsi="Times New Roman" w:cs="Times New Roman"/>
                <w:b/>
                <w:sz w:val="20"/>
                <w:szCs w:val="20"/>
                <w:lang w:val="en-US"/>
              </w:rPr>
              <w:t xml:space="preserve">Rachunek przepływów pieniężnych </w:t>
            </w:r>
            <w:r w:rsidRPr="00C60F03">
              <w:rPr>
                <w:rFonts w:ascii="Times New Roman" w:eastAsia="Calibri" w:hAnsi="Times New Roman" w:cs="Times New Roman"/>
                <w:b/>
                <w:sz w:val="20"/>
                <w:szCs w:val="20"/>
                <w:lang w:val="en-US"/>
              </w:rPr>
              <w:br/>
              <w:t>(w EUR)</w:t>
            </w:r>
          </w:p>
        </w:tc>
        <w:tc>
          <w:tcPr>
            <w:tcW w:w="1594" w:type="dxa"/>
            <w:shd w:val="clear" w:color="auto" w:fill="D9D9D9"/>
          </w:tcPr>
          <w:p w14:paraId="16A5A8ED" w14:textId="16D80660" w:rsidR="00AF19C9" w:rsidRPr="00C60F03" w:rsidRDefault="00996720" w:rsidP="00252C26">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rPr>
              <w:t>Sześć miesięcy zakończonych</w:t>
            </w:r>
            <w:r w:rsidR="00AF19C9" w:rsidRPr="00C60F03">
              <w:rPr>
                <w:rFonts w:ascii="Times New Roman" w:eastAsia="Calibri" w:hAnsi="Times New Roman" w:cs="Times New Roman"/>
                <w:b/>
                <w:sz w:val="20"/>
                <w:szCs w:val="20"/>
              </w:rPr>
              <w:br/>
            </w:r>
            <w:r w:rsidR="00252C26" w:rsidRPr="00C60F03">
              <w:rPr>
                <w:rFonts w:ascii="Times New Roman" w:eastAsia="Calibri" w:hAnsi="Times New Roman" w:cs="Times New Roman"/>
                <w:b/>
                <w:sz w:val="20"/>
                <w:szCs w:val="20"/>
              </w:rPr>
              <w:t xml:space="preserve">30 czerwca </w:t>
            </w:r>
            <w:r w:rsidR="00362DD7" w:rsidRPr="00C60F03">
              <w:rPr>
                <w:rFonts w:ascii="Times New Roman" w:eastAsia="Calibri" w:hAnsi="Times New Roman" w:cs="Times New Roman"/>
                <w:b/>
                <w:sz w:val="20"/>
                <w:szCs w:val="20"/>
              </w:rPr>
              <w:br/>
            </w:r>
            <w:r w:rsidR="00AF19C9" w:rsidRPr="00C60F03">
              <w:rPr>
                <w:rFonts w:ascii="Times New Roman" w:eastAsia="Calibri" w:hAnsi="Times New Roman" w:cs="Times New Roman"/>
                <w:b/>
                <w:sz w:val="20"/>
                <w:szCs w:val="20"/>
              </w:rPr>
              <w:t>2023</w:t>
            </w:r>
            <w:r w:rsidR="00252C26" w:rsidRPr="00C60F03">
              <w:rPr>
                <w:rFonts w:ascii="Times New Roman" w:eastAsia="Calibri" w:hAnsi="Times New Roman" w:cs="Times New Roman"/>
                <w:b/>
                <w:sz w:val="20"/>
                <w:szCs w:val="20"/>
              </w:rPr>
              <w:t xml:space="preserve"> r.</w:t>
            </w:r>
            <w:r w:rsidR="00AF19C9" w:rsidRPr="00C60F03">
              <w:rPr>
                <w:rFonts w:ascii="Times New Roman" w:eastAsia="Calibri" w:hAnsi="Times New Roman" w:cs="Times New Roman"/>
                <w:b/>
                <w:sz w:val="20"/>
                <w:szCs w:val="20"/>
              </w:rPr>
              <w:br/>
              <w:t>(</w:t>
            </w:r>
            <w:r w:rsidR="00362DD7" w:rsidRPr="00C60F03">
              <w:rPr>
                <w:rFonts w:ascii="Times New Roman" w:eastAsia="Calibri" w:hAnsi="Times New Roman" w:cs="Times New Roman"/>
                <w:b/>
                <w:sz w:val="20"/>
                <w:szCs w:val="20"/>
              </w:rPr>
              <w:t>nieaudytowane</w:t>
            </w:r>
            <w:r w:rsidR="00AF19C9" w:rsidRPr="00C60F03">
              <w:rPr>
                <w:rFonts w:ascii="Times New Roman" w:eastAsia="Calibri" w:hAnsi="Times New Roman" w:cs="Times New Roman"/>
                <w:b/>
                <w:sz w:val="20"/>
                <w:szCs w:val="20"/>
              </w:rPr>
              <w:t>)</w:t>
            </w:r>
          </w:p>
        </w:tc>
        <w:tc>
          <w:tcPr>
            <w:tcW w:w="1594" w:type="dxa"/>
            <w:shd w:val="clear" w:color="auto" w:fill="D9D9D9"/>
          </w:tcPr>
          <w:p w14:paraId="6C4E3934" w14:textId="481087B4" w:rsidR="00AF19C9" w:rsidRPr="00C60F03" w:rsidRDefault="00996720" w:rsidP="00252C26">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rPr>
              <w:t>Sześć miesięcy zakończonych</w:t>
            </w:r>
            <w:r w:rsidR="00AF19C9" w:rsidRPr="00C60F03">
              <w:rPr>
                <w:rFonts w:ascii="Times New Roman" w:eastAsia="Calibri" w:hAnsi="Times New Roman" w:cs="Times New Roman"/>
                <w:b/>
                <w:sz w:val="20"/>
                <w:szCs w:val="20"/>
              </w:rPr>
              <w:br/>
            </w:r>
            <w:r w:rsidR="00252C26" w:rsidRPr="00C60F03">
              <w:rPr>
                <w:rFonts w:ascii="Times New Roman" w:eastAsia="Calibri" w:hAnsi="Times New Roman" w:cs="Times New Roman"/>
                <w:b/>
                <w:sz w:val="20"/>
                <w:szCs w:val="20"/>
              </w:rPr>
              <w:t xml:space="preserve">30 czerwca </w:t>
            </w:r>
            <w:r w:rsidR="00362DD7" w:rsidRPr="00C60F03">
              <w:rPr>
                <w:rFonts w:ascii="Times New Roman" w:eastAsia="Calibri" w:hAnsi="Times New Roman" w:cs="Times New Roman"/>
                <w:b/>
                <w:sz w:val="20"/>
                <w:szCs w:val="20"/>
              </w:rPr>
              <w:br/>
            </w:r>
            <w:r w:rsidR="00AF19C9" w:rsidRPr="00C60F03">
              <w:rPr>
                <w:rFonts w:ascii="Times New Roman" w:eastAsia="Calibri" w:hAnsi="Times New Roman" w:cs="Times New Roman"/>
                <w:b/>
                <w:sz w:val="20"/>
                <w:szCs w:val="20"/>
              </w:rPr>
              <w:t>2022</w:t>
            </w:r>
            <w:r w:rsidR="00252C26" w:rsidRPr="00C60F03">
              <w:rPr>
                <w:rFonts w:ascii="Times New Roman" w:eastAsia="Calibri" w:hAnsi="Times New Roman" w:cs="Times New Roman"/>
                <w:b/>
                <w:sz w:val="20"/>
                <w:szCs w:val="20"/>
              </w:rPr>
              <w:t xml:space="preserve"> r.</w:t>
            </w:r>
            <w:r w:rsidR="00AF19C9" w:rsidRPr="00C60F03">
              <w:rPr>
                <w:rFonts w:ascii="Times New Roman" w:eastAsia="Calibri" w:hAnsi="Times New Roman" w:cs="Times New Roman"/>
                <w:b/>
                <w:sz w:val="20"/>
                <w:szCs w:val="20"/>
              </w:rPr>
              <w:br/>
              <w:t>(</w:t>
            </w:r>
            <w:r w:rsidR="00362DD7" w:rsidRPr="00C60F03">
              <w:rPr>
                <w:rFonts w:ascii="Times New Roman" w:eastAsia="Calibri" w:hAnsi="Times New Roman" w:cs="Times New Roman"/>
                <w:b/>
                <w:sz w:val="20"/>
                <w:szCs w:val="20"/>
              </w:rPr>
              <w:t>nieaudytowane</w:t>
            </w:r>
            <w:r w:rsidR="00AF19C9" w:rsidRPr="00C60F03">
              <w:rPr>
                <w:rFonts w:ascii="Times New Roman" w:eastAsia="Calibri" w:hAnsi="Times New Roman" w:cs="Times New Roman"/>
                <w:b/>
                <w:sz w:val="20"/>
                <w:szCs w:val="20"/>
              </w:rPr>
              <w:t>)</w:t>
            </w:r>
          </w:p>
        </w:tc>
        <w:tc>
          <w:tcPr>
            <w:tcW w:w="1595" w:type="dxa"/>
            <w:shd w:val="clear" w:color="auto" w:fill="D9D9D9"/>
          </w:tcPr>
          <w:p w14:paraId="0FF56712" w14:textId="3459B5B4" w:rsidR="00AF19C9" w:rsidRPr="00C60F03" w:rsidRDefault="00AF19C9" w:rsidP="00AF19C9">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rPr>
              <w:t>2022</w:t>
            </w:r>
            <w:r w:rsidR="007510AB" w:rsidRPr="00C60F03">
              <w:rPr>
                <w:rFonts w:ascii="Times New Roman" w:eastAsia="Calibri" w:hAnsi="Times New Roman" w:cs="Times New Roman"/>
                <w:b/>
                <w:sz w:val="20"/>
                <w:szCs w:val="20"/>
              </w:rPr>
              <w:t xml:space="preserve"> r.</w:t>
            </w:r>
          </w:p>
        </w:tc>
        <w:tc>
          <w:tcPr>
            <w:tcW w:w="1595" w:type="dxa"/>
            <w:shd w:val="clear" w:color="auto" w:fill="D9D9D9"/>
          </w:tcPr>
          <w:p w14:paraId="547FD5A9" w14:textId="5E38F2B8" w:rsidR="00AF19C9" w:rsidRPr="00C60F03" w:rsidRDefault="00AF19C9" w:rsidP="00AF19C9">
            <w:pPr>
              <w:spacing w:after="180"/>
              <w:jc w:val="right"/>
              <w:rPr>
                <w:rFonts w:ascii="Times New Roman" w:eastAsia="Calibri" w:hAnsi="Times New Roman" w:cs="Times New Roman"/>
                <w:b/>
                <w:sz w:val="20"/>
                <w:szCs w:val="20"/>
              </w:rPr>
            </w:pPr>
            <w:r w:rsidRPr="00C60F03">
              <w:rPr>
                <w:rFonts w:ascii="Times New Roman" w:eastAsia="Calibri" w:hAnsi="Times New Roman" w:cs="Times New Roman"/>
                <w:b/>
                <w:sz w:val="20"/>
                <w:szCs w:val="20"/>
              </w:rPr>
              <w:t>2021</w:t>
            </w:r>
            <w:r w:rsidR="007510AB" w:rsidRPr="00C60F03">
              <w:rPr>
                <w:rFonts w:ascii="Times New Roman" w:eastAsia="Calibri" w:hAnsi="Times New Roman" w:cs="Times New Roman"/>
                <w:b/>
                <w:sz w:val="20"/>
                <w:szCs w:val="20"/>
              </w:rPr>
              <w:t xml:space="preserve"> r.</w:t>
            </w:r>
          </w:p>
        </w:tc>
      </w:tr>
      <w:tr w:rsidR="00AF19C9" w:rsidRPr="00C60F03" w14:paraId="0DB86FF8" w14:textId="77777777" w:rsidTr="0040092D">
        <w:tc>
          <w:tcPr>
            <w:tcW w:w="2666" w:type="dxa"/>
          </w:tcPr>
          <w:p w14:paraId="4689423C" w14:textId="41645D7B" w:rsidR="00AF19C9" w:rsidRPr="00C60F03" w:rsidRDefault="007510AB" w:rsidP="007510AB">
            <w:pPr>
              <w:spacing w:after="180"/>
              <w:rPr>
                <w:rFonts w:ascii="Times New Roman" w:eastAsia="Calibri" w:hAnsi="Times New Roman" w:cs="Times New Roman"/>
                <w:sz w:val="20"/>
                <w:szCs w:val="20"/>
                <w:lang w:val="de-DE"/>
              </w:rPr>
            </w:pPr>
            <w:r w:rsidRPr="00C60F03">
              <w:rPr>
                <w:rFonts w:ascii="Times New Roman" w:eastAsia="Calibri" w:hAnsi="Times New Roman" w:cs="Times New Roman"/>
                <w:sz w:val="20"/>
                <w:szCs w:val="20"/>
                <w:lang w:val="de-DE"/>
              </w:rPr>
              <w:t>Przepływy pieniężne netto z działalności operacyjnej</w:t>
            </w:r>
          </w:p>
        </w:tc>
        <w:tc>
          <w:tcPr>
            <w:tcW w:w="1594" w:type="dxa"/>
          </w:tcPr>
          <w:p w14:paraId="1ABEDD41" w14:textId="122B1C09"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595,547</w:t>
            </w:r>
          </w:p>
        </w:tc>
        <w:tc>
          <w:tcPr>
            <w:tcW w:w="1594" w:type="dxa"/>
          </w:tcPr>
          <w:p w14:paraId="273AB7D8" w14:textId="1ADF36E0"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-1,642,140</w:t>
            </w:r>
          </w:p>
        </w:tc>
        <w:tc>
          <w:tcPr>
            <w:tcW w:w="1595" w:type="dxa"/>
          </w:tcPr>
          <w:p w14:paraId="12AB99E9" w14:textId="0048EC4C"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-3,257,493</w:t>
            </w:r>
          </w:p>
        </w:tc>
        <w:tc>
          <w:tcPr>
            <w:tcW w:w="1595" w:type="dxa"/>
          </w:tcPr>
          <w:p w14:paraId="5C3C3B36" w14:textId="089DC693"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3,490,039</w:t>
            </w:r>
          </w:p>
        </w:tc>
      </w:tr>
      <w:tr w:rsidR="00AF19C9" w:rsidRPr="00C60F03" w14:paraId="2FC3E3A5" w14:textId="77777777" w:rsidTr="0040092D">
        <w:tc>
          <w:tcPr>
            <w:tcW w:w="2666" w:type="dxa"/>
          </w:tcPr>
          <w:p w14:paraId="77AC3F67" w14:textId="73ED944F" w:rsidR="00AF19C9" w:rsidRPr="00C60F03" w:rsidRDefault="007510AB" w:rsidP="007510AB">
            <w:pPr>
              <w:spacing w:after="180"/>
              <w:rPr>
                <w:rFonts w:ascii="Times New Roman" w:eastAsia="Calibri" w:hAnsi="Times New Roman" w:cs="Times New Roman"/>
                <w:sz w:val="20"/>
                <w:szCs w:val="20"/>
                <w:lang w:val="de-DE"/>
              </w:rPr>
            </w:pPr>
            <w:r w:rsidRPr="00C60F03">
              <w:rPr>
                <w:rFonts w:ascii="Times New Roman" w:eastAsia="Calibri" w:hAnsi="Times New Roman" w:cs="Times New Roman"/>
                <w:sz w:val="20"/>
                <w:szCs w:val="20"/>
                <w:lang w:val="de-DE"/>
              </w:rPr>
              <w:t>Przepływy pieniężne netto z działalności finansowej</w:t>
            </w:r>
          </w:p>
        </w:tc>
        <w:tc>
          <w:tcPr>
            <w:tcW w:w="1594" w:type="dxa"/>
          </w:tcPr>
          <w:p w14:paraId="2609491B" w14:textId="27D7BA44"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0</w:t>
            </w:r>
          </w:p>
        </w:tc>
        <w:tc>
          <w:tcPr>
            <w:tcW w:w="1594" w:type="dxa"/>
          </w:tcPr>
          <w:p w14:paraId="4D465FDC" w14:textId="1A1181C9"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0</w:t>
            </w:r>
          </w:p>
        </w:tc>
        <w:tc>
          <w:tcPr>
            <w:tcW w:w="1595" w:type="dxa"/>
          </w:tcPr>
          <w:p w14:paraId="1FD8469A" w14:textId="2CACC45D"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0</w:t>
            </w:r>
          </w:p>
        </w:tc>
        <w:tc>
          <w:tcPr>
            <w:tcW w:w="1595" w:type="dxa"/>
          </w:tcPr>
          <w:p w14:paraId="471946F4" w14:textId="77777777"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0</w:t>
            </w:r>
          </w:p>
        </w:tc>
      </w:tr>
      <w:tr w:rsidR="00AF19C9" w:rsidRPr="00C60F03" w14:paraId="14D1F346" w14:textId="77777777" w:rsidTr="0040092D">
        <w:tc>
          <w:tcPr>
            <w:tcW w:w="2666" w:type="dxa"/>
          </w:tcPr>
          <w:p w14:paraId="09010517" w14:textId="760D2D3B" w:rsidR="00AF19C9" w:rsidRPr="00C60F03" w:rsidRDefault="007510AB" w:rsidP="007510AB">
            <w:pPr>
              <w:spacing w:after="180"/>
              <w:rPr>
                <w:rFonts w:ascii="Times New Roman" w:eastAsia="Calibri" w:hAnsi="Times New Roman" w:cs="Times New Roman"/>
                <w:sz w:val="20"/>
                <w:szCs w:val="20"/>
                <w:lang w:val="de-DE"/>
              </w:rPr>
            </w:pPr>
            <w:r w:rsidRPr="00C60F03">
              <w:rPr>
                <w:rFonts w:ascii="Times New Roman" w:eastAsia="Calibri" w:hAnsi="Times New Roman" w:cs="Times New Roman"/>
                <w:sz w:val="20"/>
                <w:szCs w:val="20"/>
                <w:lang w:val="de-DE"/>
              </w:rPr>
              <w:t>Przepływy pieniężne netto z działalności inwestycyjnej</w:t>
            </w:r>
          </w:p>
        </w:tc>
        <w:tc>
          <w:tcPr>
            <w:tcW w:w="1594" w:type="dxa"/>
          </w:tcPr>
          <w:p w14:paraId="072CF629" w14:textId="7AF5F8CA"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0</w:t>
            </w:r>
          </w:p>
        </w:tc>
        <w:tc>
          <w:tcPr>
            <w:tcW w:w="1594" w:type="dxa"/>
          </w:tcPr>
          <w:p w14:paraId="62EC3C36" w14:textId="49564D23"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0</w:t>
            </w:r>
          </w:p>
        </w:tc>
        <w:tc>
          <w:tcPr>
            <w:tcW w:w="1595" w:type="dxa"/>
          </w:tcPr>
          <w:p w14:paraId="1BCEE219" w14:textId="77777777"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0</w:t>
            </w:r>
          </w:p>
        </w:tc>
        <w:tc>
          <w:tcPr>
            <w:tcW w:w="1595" w:type="dxa"/>
          </w:tcPr>
          <w:p w14:paraId="6AC4A3EF" w14:textId="77777777" w:rsidR="00AF19C9" w:rsidRPr="00C60F03" w:rsidRDefault="00AF19C9" w:rsidP="00AF19C9">
            <w:pPr>
              <w:spacing w:after="180"/>
              <w:jc w:val="right"/>
              <w:rPr>
                <w:rFonts w:ascii="Times New Roman" w:eastAsia="Calibri" w:hAnsi="Times New Roman" w:cs="Times New Roman"/>
                <w:sz w:val="20"/>
                <w:szCs w:val="20"/>
              </w:rPr>
            </w:pPr>
            <w:r w:rsidRPr="00C60F03">
              <w:rPr>
                <w:rFonts w:ascii="Times New Roman" w:eastAsia="Calibri" w:hAnsi="Times New Roman" w:cs="Times New Roman"/>
                <w:sz w:val="20"/>
                <w:szCs w:val="20"/>
              </w:rPr>
              <w:t>0</w:t>
            </w:r>
          </w:p>
        </w:tc>
      </w:tr>
    </w:tbl>
    <w:p w14:paraId="556E8A09" w14:textId="77777777" w:rsidR="00AF19C9" w:rsidRPr="00C60F03" w:rsidRDefault="00AF19C9" w:rsidP="00AF19C9">
      <w:pPr>
        <w:spacing w:after="0" w:line="240" w:lineRule="auto"/>
        <w:ind w:left="720"/>
        <w:jc w:val="both"/>
        <w:rPr>
          <w:rFonts w:ascii="Times New Roman" w:eastAsia="MS Mincho" w:hAnsi="Times New Roman" w:cs="Times New Roman"/>
          <w:kern w:val="0"/>
          <w:sz w:val="20"/>
          <w:szCs w:val="20"/>
          <w:lang w:val="en-US" w:bidi="ar-SA"/>
          <w14:ligatures w14:val="none"/>
        </w:rPr>
      </w:pPr>
    </w:p>
    <w:p w14:paraId="0CB271A9" w14:textId="4CE9C4F7" w:rsidR="00AF19C9" w:rsidRPr="00C60F03" w:rsidRDefault="00222177" w:rsidP="00AF19C9">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C60F03">
        <w:rPr>
          <w:rFonts w:ascii="Times New Roman" w:eastAsia="Times New Roman" w:hAnsi="Times New Roman" w:cs="Times New Roman"/>
          <w:b/>
          <w:bCs/>
          <w:color w:val="000000"/>
          <w:kern w:val="0"/>
          <w:sz w:val="20"/>
          <w:szCs w:val="20"/>
          <w:lang w:val="en-US" w:bidi="ar-SA"/>
          <w14:ligatures w14:val="none"/>
        </w:rPr>
        <w:t>Jakie są kluczowe ryzyka szczególne dla emitenta?</w:t>
      </w:r>
    </w:p>
    <w:p w14:paraId="34BF1392" w14:textId="7CE25C50" w:rsidR="00AF19C9" w:rsidRPr="00C60F03" w:rsidRDefault="00A30E25" w:rsidP="00A30E25">
      <w:pPr>
        <w:spacing w:after="60" w:line="240" w:lineRule="auto"/>
        <w:jc w:val="both"/>
        <w:rPr>
          <w:rFonts w:ascii="Times New Roman" w:eastAsia="MS Mincho" w:hAnsi="Times New Roman" w:cs="Times New Roman"/>
          <w:i/>
          <w:kern w:val="0"/>
          <w:sz w:val="20"/>
          <w:szCs w:val="20"/>
          <w:lang w:val="en-US" w:bidi="ar-SA"/>
          <w14:ligatures w14:val="none"/>
        </w:rPr>
      </w:pPr>
      <w:r w:rsidRPr="00C60F03">
        <w:rPr>
          <w:rFonts w:ascii="Times New Roman" w:eastAsia="MS Mincho" w:hAnsi="Times New Roman" w:cs="Times New Roman"/>
          <w:i/>
          <w:kern w:val="0"/>
          <w:sz w:val="20"/>
          <w:szCs w:val="20"/>
          <w:lang w:val="en-US" w:bidi="ar-SA"/>
          <w14:ligatures w14:val="none"/>
        </w:rPr>
        <w:t>W odniesieniu do zdolności Emitenta do wypełniania swoich zobowiązań wynikających z wyemitowanych przez niego Obligacji wskazać można następujące istotne czynniki ryzyka.</w:t>
      </w:r>
    </w:p>
    <w:p w14:paraId="02335BAE" w14:textId="511770B7" w:rsidR="00445BB8" w:rsidRPr="00C60F03" w:rsidRDefault="00445BB8" w:rsidP="00E927E0">
      <w:pPr>
        <w:spacing w:after="12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Ryzyko związane z ograniczonym przedmiotem działalności Emitenta</w:t>
      </w:r>
      <w:r w:rsidR="00E927E0" w:rsidRPr="00C60F03">
        <w:rPr>
          <w:rFonts w:ascii="Times New Roman" w:eastAsia="MS Mincho" w:hAnsi="Times New Roman" w:cs="Times New Roman"/>
          <w:b/>
          <w:bCs/>
          <w:i/>
          <w:iCs/>
          <w:kern w:val="0"/>
          <w:sz w:val="20"/>
          <w:szCs w:val="20"/>
          <w:lang w:val="en-US" w:bidi="ar-SA"/>
          <w14:ligatures w14:val="none"/>
        </w:rPr>
        <w:t>:</w:t>
      </w:r>
      <w:r w:rsidR="00E927E0"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val="en-US" w:bidi="ar-SA"/>
          <w14:ligatures w14:val="none"/>
        </w:rPr>
        <w:t>Przedmiotem działalności gospodarczej Emitenta jest emisja obligacji związanych z Kryptowalutą, jak również wydajność wkładu Kryptowaluty do odpowiedniej bazowej sieci w celu ułatwienia, walidacji i zatwierdzania transakcji w tej sieci związanych z Kryptowalutą ("</w:t>
      </w:r>
      <w:r w:rsidRPr="00C60F03">
        <w:rPr>
          <w:rFonts w:ascii="Times New Roman" w:eastAsia="MS Mincho" w:hAnsi="Times New Roman" w:cs="Times New Roman"/>
          <w:b/>
          <w:bCs/>
          <w:kern w:val="0"/>
          <w:sz w:val="20"/>
          <w:szCs w:val="20"/>
          <w:lang w:val="en-US" w:bidi="ar-SA"/>
          <w14:ligatures w14:val="none"/>
        </w:rPr>
        <w:t>Staking</w:t>
      </w:r>
      <w:r w:rsidRPr="00C60F03">
        <w:rPr>
          <w:rFonts w:ascii="Times New Roman" w:eastAsia="MS Mincho" w:hAnsi="Times New Roman" w:cs="Times New Roman"/>
          <w:kern w:val="0"/>
          <w:sz w:val="20"/>
          <w:szCs w:val="20"/>
          <w:lang w:val="en-US" w:bidi="ar-SA"/>
          <w14:ligatures w14:val="none"/>
        </w:rPr>
        <w:t>"). Emitent nie będzie prowadził żadnej innej działalności poza opisaną powyżej (zob. pkt. „</w:t>
      </w:r>
      <w:r w:rsidRPr="00C60F03">
        <w:rPr>
          <w:rFonts w:ascii="Times New Roman" w:eastAsia="MS Mincho" w:hAnsi="Times New Roman" w:cs="Times New Roman"/>
          <w:i/>
          <w:iCs/>
          <w:kern w:val="0"/>
          <w:sz w:val="20"/>
          <w:szCs w:val="20"/>
          <w:lang w:val="en-US" w:bidi="ar-SA"/>
          <w14:ligatures w14:val="none"/>
        </w:rPr>
        <w:t>1.2.1.1. Główny przedmiot działalności Emitenta</w:t>
      </w:r>
      <w:r w:rsidRPr="00C60F03">
        <w:rPr>
          <w:rFonts w:ascii="Times New Roman" w:eastAsia="MS Mincho" w:hAnsi="Times New Roman" w:cs="Times New Roman"/>
          <w:kern w:val="0"/>
          <w:sz w:val="20"/>
          <w:szCs w:val="20"/>
          <w:lang w:val="en-US" w:bidi="ar-SA"/>
          <w14:ligatures w14:val="none"/>
        </w:rPr>
        <w:t xml:space="preserve">”). Ze względu na tak ograniczony przedmiot działalności, Emitent jest narażony na ryzyko, że bazowa Kryptowaluta nie osiągnie sukcesu lub jej sukces będzie mniejszy. </w:t>
      </w:r>
      <w:r w:rsidRPr="00C60F03">
        <w:rPr>
          <w:rFonts w:ascii="Times New Roman" w:eastAsia="MS Mincho" w:hAnsi="Times New Roman" w:cs="Times New Roman"/>
          <w:kern w:val="0"/>
          <w:sz w:val="20"/>
          <w:szCs w:val="20"/>
          <w:lang w:val="en-US" w:bidi="ar-SA"/>
          <w14:ligatures w14:val="none"/>
        </w:rPr>
        <w:lastRenderedPageBreak/>
        <w:t>Wówczas działalność Emitenta może nie przynieść pomyślnych rezultatów, co z kolei może mieć ujemny wpływ na jego sytuację biznesową i finansową.</w:t>
      </w:r>
    </w:p>
    <w:p w14:paraId="0750E0DB" w14:textId="77777777" w:rsidR="00445BB8" w:rsidRPr="00C60F03" w:rsidRDefault="00445BB8" w:rsidP="00445BB8">
      <w:pPr>
        <w:spacing w:after="12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Ryzyko wynikające z nieposiadania długiej i kompleksowej historii działalności gospodarczej Emitenta</w:t>
      </w:r>
      <w:r w:rsidRPr="00C60F03">
        <w:rPr>
          <w:rFonts w:ascii="Times New Roman" w:eastAsia="MS Mincho" w:hAnsi="Times New Roman" w:cs="Times New Roman"/>
          <w:kern w:val="0"/>
          <w:sz w:val="20"/>
          <w:szCs w:val="20"/>
          <w:lang w:val="en-US" w:bidi="ar-SA"/>
          <w14:ligatures w14:val="none"/>
        </w:rPr>
        <w:t>: Emitent został wpisany do rejestru handlowego prowadzonego przez sąd rejonowy (</w:t>
      </w:r>
      <w:r w:rsidRPr="00C60F03">
        <w:rPr>
          <w:rFonts w:ascii="Times New Roman" w:eastAsia="MS Mincho" w:hAnsi="Times New Roman" w:cs="Times New Roman"/>
          <w:i/>
          <w:iCs/>
          <w:kern w:val="0"/>
          <w:sz w:val="20"/>
          <w:szCs w:val="20"/>
          <w:lang w:val="en-US" w:bidi="ar-SA"/>
          <w14:ligatures w14:val="none"/>
        </w:rPr>
        <w:t>Amtsgericht</w:t>
      </w:r>
      <w:r w:rsidRPr="00C60F03">
        <w:rPr>
          <w:rFonts w:ascii="Times New Roman" w:eastAsia="MS Mincho" w:hAnsi="Times New Roman" w:cs="Times New Roman"/>
          <w:kern w:val="0"/>
          <w:sz w:val="20"/>
          <w:szCs w:val="20"/>
          <w:lang w:val="en-US" w:bidi="ar-SA"/>
          <w14:ligatures w14:val="none"/>
        </w:rPr>
        <w:t>) we Frankfurcie nad Menem w dniu 27 sierpnia 2019 r. Ze względu na tak krótki okres istnienia, Emitent nie ma udokumentowanych długoterminowych i kompleksowych osiągnięć w zakresie pomyślnego prowadzenia opisanej tu działalności gospodarczej, co zwiększa ryzyko handlowe, które mogłoby mieć ujemny wpływ na jego sytuację biznesową i finansową.</w:t>
      </w:r>
    </w:p>
    <w:p w14:paraId="44CEDF58" w14:textId="77777777" w:rsidR="00445BB8" w:rsidRPr="00C60F03" w:rsidRDefault="00445BB8" w:rsidP="00445BB8">
      <w:pPr>
        <w:spacing w:after="12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Główni wspólnicy:</w:t>
      </w:r>
      <w:r w:rsidRPr="00C60F03">
        <w:rPr>
          <w:rFonts w:ascii="Times New Roman" w:eastAsia="MS Mincho" w:hAnsi="Times New Roman" w:cs="Times New Roman"/>
          <w:kern w:val="0"/>
          <w:sz w:val="20"/>
          <w:szCs w:val="20"/>
          <w:lang w:val="en-US" w:bidi="ar-SA"/>
          <w14:ligatures w14:val="none"/>
        </w:rPr>
        <w:t xml:space="preserve"> Udziały w Spółce Holdingowej są skupione w rękach niewielkiej liczby wspólników: (i) XTX i (ii) MLM, którzy razem posiadają więcej niż 50,00 procent praw głosu. Ci wspólnicy lub ich przedstawiciele mają możliwość odwoływania wszystkich członków zarządu Emitenta większością głosów. W związku z tym, ci wspólnicy mają znaczący wpływ na zarządzanie Emitentem. Nie ma pewności, że ci wspólnicy lub ich przedstawiciele będą wykonywać swoje prawa głosu w sposób przynoszący korzyści Emitentowi lub inwestorom.</w:t>
      </w:r>
    </w:p>
    <w:p w14:paraId="4F5AFCC3" w14:textId="7DB98800" w:rsidR="00445BB8" w:rsidRPr="00C60F03" w:rsidRDefault="00445BB8" w:rsidP="00445BB8">
      <w:pPr>
        <w:spacing w:after="12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Zależność od zezwoleń</w:t>
      </w:r>
      <w:r w:rsidR="00E927E0" w:rsidRPr="00C60F03">
        <w:rPr>
          <w:rFonts w:ascii="Times New Roman" w:eastAsia="MS Mincho" w:hAnsi="Times New Roman" w:cs="Times New Roman"/>
          <w:b/>
          <w:bCs/>
          <w:i/>
          <w:iCs/>
          <w:kern w:val="0"/>
          <w:sz w:val="20"/>
          <w:szCs w:val="20"/>
          <w:lang w:val="en-US" w:bidi="ar-SA"/>
          <w14:ligatures w14:val="none"/>
        </w:rPr>
        <w:t>:</w:t>
      </w:r>
      <w:r w:rsidRPr="00C60F03">
        <w:rPr>
          <w:rFonts w:ascii="Times New Roman" w:eastAsia="MS Mincho" w:hAnsi="Times New Roman" w:cs="Times New Roman"/>
          <w:kern w:val="0"/>
          <w:sz w:val="20"/>
          <w:szCs w:val="20"/>
          <w:lang w:val="en-US" w:bidi="ar-SA"/>
          <w14:ligatures w14:val="none"/>
        </w:rPr>
        <w:t xml:space="preserve"> Emitent zależny jest od decyzji Giełdy Papierów Wartościowych we Frankfurcie oraz tego, czy zgodnie z zasadami i przepisami obowiązującymi w Niemczech dozwolone będzie kontynuowanie emisji i notowanie Obligacji. Ewentualna zmiana wymogów w zakresie dopuszczenia do obrotu, regulacji dotyczących Obligacji lub akceptacji kryptowaluty jako przedmiotu zabezpieczenia może mieć ujemny wpływ na Emitenta i inwestorów w Obligacje.</w:t>
      </w:r>
    </w:p>
    <w:p w14:paraId="4E75033E" w14:textId="641438A7" w:rsidR="00445BB8" w:rsidRPr="00C60F03" w:rsidRDefault="00445BB8" w:rsidP="00E927E0">
      <w:pPr>
        <w:spacing w:after="12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Ataki ze strony „hakerów” i sabotaż spoza organizacji Emitenta:</w:t>
      </w:r>
      <w:r w:rsidRPr="00C60F03">
        <w:rPr>
          <w:rFonts w:ascii="Times New Roman" w:eastAsia="MS Mincho" w:hAnsi="Times New Roman" w:cs="Times New Roman"/>
          <w:kern w:val="0"/>
          <w:sz w:val="20"/>
          <w:szCs w:val="20"/>
          <w:lang w:val="en-US" w:bidi="ar-SA"/>
          <w14:ligatures w14:val="none"/>
        </w:rPr>
        <w:t xml:space="preserve"> Całość działalności Emitenta jest uzależniona od określonej infrastruktury informatycznej. Ponadto, dostawcy usług (np. Administrator, Agent ds. Płatności i System Rozliczeniowy) również korzystają z systemów informatycznych w celu świadczenia usług na rzecz Emitenta. Zarówno systemy informatyczne Emitenta, jak i systemy usługodawców mogą być celem ataku przestępców. Emitent jest narażony na ryzyko częściowego, czasowego lub nawet trwałego braku możliwości prowadzenia działalności gospodarczej, a nawet niewypłacalności, a w wyniku występowania takiego rodzaju naruszenia bezpieczeństwa posiadacze Obligacji („</w:t>
      </w:r>
      <w:r w:rsidRPr="00C60F03">
        <w:rPr>
          <w:rFonts w:ascii="Times New Roman" w:eastAsia="MS Mincho" w:hAnsi="Times New Roman" w:cs="Times New Roman"/>
          <w:b/>
          <w:bCs/>
          <w:kern w:val="0"/>
          <w:sz w:val="20"/>
          <w:szCs w:val="20"/>
          <w:lang w:val="en-US" w:bidi="ar-SA"/>
          <w14:ligatures w14:val="none"/>
        </w:rPr>
        <w:t>Obligatariusze</w:t>
      </w:r>
      <w:r w:rsidRPr="00C60F03">
        <w:rPr>
          <w:rFonts w:ascii="Times New Roman" w:eastAsia="MS Mincho" w:hAnsi="Times New Roman" w:cs="Times New Roman"/>
          <w:kern w:val="0"/>
          <w:sz w:val="20"/>
          <w:szCs w:val="20"/>
          <w:lang w:val="en-US" w:bidi="ar-SA"/>
          <w14:ligatures w14:val="none"/>
        </w:rPr>
        <w:t>”) mogą utracić część lub całość inwestycji w Obligacje.</w:t>
      </w:r>
    </w:p>
    <w:p w14:paraId="2D2C0847" w14:textId="2271111F" w:rsidR="00AF19C9" w:rsidRPr="00C60F03" w:rsidRDefault="00693089" w:rsidP="00AF19C9">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en-US" w:bidi="ar-SA"/>
          <w14:ligatures w14:val="none"/>
        </w:rPr>
      </w:pPr>
      <w:r w:rsidRPr="00C60F03">
        <w:rPr>
          <w:rFonts w:ascii="Times New Roman" w:eastAsia="Times New Roman" w:hAnsi="Times New Roman" w:cs="Times New Roman"/>
          <w:b/>
          <w:bCs/>
          <w:caps/>
          <w:color w:val="000000"/>
          <w:kern w:val="0"/>
          <w:sz w:val="20"/>
          <w:szCs w:val="20"/>
          <w:lang w:val="en-US" w:bidi="ar-SA"/>
          <w14:ligatures w14:val="none"/>
        </w:rPr>
        <w:t>PODSTAWOWE INFORMACJE O PAPIERACH WARTOŚCIOWYCH</w:t>
      </w:r>
    </w:p>
    <w:p w14:paraId="0D4655E7" w14:textId="65C9FB18" w:rsidR="00AF19C9" w:rsidRPr="00C60F03" w:rsidRDefault="00CB30C4" w:rsidP="00AF19C9">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C60F03">
        <w:rPr>
          <w:rFonts w:ascii="Times New Roman" w:eastAsia="Times New Roman" w:hAnsi="Times New Roman" w:cs="Times New Roman"/>
          <w:b/>
          <w:bCs/>
          <w:color w:val="000000"/>
          <w:kern w:val="0"/>
          <w:sz w:val="20"/>
          <w:szCs w:val="20"/>
          <w:lang w:val="en-US" w:bidi="ar-SA"/>
          <w14:ligatures w14:val="none"/>
        </w:rPr>
        <w:t>Jakie są główne cechy tych papierów wartościowych?</w:t>
      </w:r>
    </w:p>
    <w:p w14:paraId="2679DEDF" w14:textId="474A9BF4" w:rsidR="00533150" w:rsidRPr="00C60F03" w:rsidRDefault="00533150" w:rsidP="00533150">
      <w:pPr>
        <w:keepNext/>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Obligacje są obligacjami zabezpieczonymi. Obligacje nie mają ustalonego terminu wykupu. Obligacje nie są oprocentowane. Każda Obligacja reprezentuje prawo Obligatariusza do żądania od Emitenta (a) świadczenia w postaci przekazania Ethereum ("</w:t>
      </w:r>
      <w:r w:rsidRPr="00C60F03">
        <w:rPr>
          <w:rFonts w:ascii="Times New Roman" w:eastAsia="MS Mincho" w:hAnsi="Times New Roman" w:cs="Times New Roman"/>
          <w:b/>
          <w:bCs/>
          <w:kern w:val="0"/>
          <w:sz w:val="20"/>
          <w:szCs w:val="20"/>
          <w:lang w:val="en-US" w:bidi="ar-SA"/>
          <w14:ligatures w14:val="none"/>
        </w:rPr>
        <w:t>ETH</w:t>
      </w:r>
      <w:r w:rsidRPr="00C60F03">
        <w:rPr>
          <w:rFonts w:ascii="Times New Roman" w:eastAsia="MS Mincho" w:hAnsi="Times New Roman" w:cs="Times New Roman"/>
          <w:kern w:val="0"/>
          <w:sz w:val="20"/>
          <w:szCs w:val="20"/>
          <w:lang w:val="en-US" w:bidi="ar-SA"/>
          <w14:ligatures w14:val="none"/>
        </w:rPr>
        <w:t>" lub "</w:t>
      </w:r>
      <w:r w:rsidRPr="00C60F03">
        <w:rPr>
          <w:rFonts w:ascii="Times New Roman" w:eastAsia="MS Mincho" w:hAnsi="Times New Roman" w:cs="Times New Roman"/>
          <w:b/>
          <w:bCs/>
          <w:kern w:val="0"/>
          <w:sz w:val="20"/>
          <w:szCs w:val="20"/>
          <w:lang w:val="en-US" w:bidi="ar-SA"/>
          <w14:ligatures w14:val="none"/>
        </w:rPr>
        <w:t>Kryptowaluta</w:t>
      </w:r>
      <w:r w:rsidRPr="00C60F03">
        <w:rPr>
          <w:rFonts w:ascii="Times New Roman" w:eastAsia="MS Mincho" w:hAnsi="Times New Roman" w:cs="Times New Roman"/>
          <w:kern w:val="0"/>
          <w:sz w:val="20"/>
          <w:szCs w:val="20"/>
          <w:lang w:val="en-US" w:bidi="ar-SA"/>
          <w14:ligatures w14:val="none"/>
        </w:rPr>
        <w:t xml:space="preserve">"), kryptowaluty opartej na otwartej, zdecentralizowanej platformie oprogramowania blockchain (również nazywanej Ethereum) i prezentowanej na stronie </w:t>
      </w:r>
      <w:hyperlink r:id="rId10" w:tgtFrame="_new" w:history="1">
        <w:r w:rsidRPr="00C60F03">
          <w:rPr>
            <w:rStyle w:val="Hyperlink"/>
            <w:rFonts w:ascii="Times New Roman" w:eastAsia="MS Mincho" w:hAnsi="Times New Roman" w:cs="Times New Roman"/>
            <w:kern w:val="0"/>
            <w:sz w:val="20"/>
            <w:szCs w:val="20"/>
            <w:lang w:val="en-US" w:bidi="ar-SA"/>
            <w14:ligatures w14:val="none"/>
          </w:rPr>
          <w:t>https://ethereum.org/en/eth</w:t>
        </w:r>
      </w:hyperlink>
      <w:r w:rsidRPr="00C60F03">
        <w:rPr>
          <w:rFonts w:ascii="Times New Roman" w:eastAsia="MS Mincho" w:hAnsi="Times New Roman" w:cs="Times New Roman"/>
          <w:kern w:val="0"/>
          <w:sz w:val="20"/>
          <w:szCs w:val="20"/>
          <w:lang w:val="en-US" w:bidi="ar-SA"/>
          <w14:ligatures w14:val="none"/>
        </w:rPr>
        <w:t xml:space="preserve">, równej wartości roszczenia Obligatariusza na dany Dzień Roboczy wobec Emitenta z tytułu każdej Obligacji, wyrażonemu jako kwota Kryptowaluty na jedną Obligację i obliczonemu przez Emitenta według jego wyłącznego uznania zgodnie z podanym poniżej wzorem z odniesieniem do Indeksu Compass </w:t>
      </w:r>
      <w:r w:rsidR="00B04257" w:rsidRPr="00C60F03">
        <w:rPr>
          <w:rFonts w:ascii="Times New Roman" w:eastAsia="MS Mincho" w:hAnsi="Times New Roman" w:cs="Times New Roman"/>
          <w:kern w:val="0"/>
          <w:sz w:val="20"/>
          <w:szCs w:val="20"/>
          <w:lang w:val="en-US" w:bidi="ar-SA"/>
          <w14:ligatures w14:val="none"/>
        </w:rPr>
        <w:t xml:space="preserve">Crypto Reference Index </w:t>
      </w:r>
      <w:r w:rsidRPr="00C60F03">
        <w:rPr>
          <w:rFonts w:ascii="Times New Roman" w:eastAsia="MS Mincho" w:hAnsi="Times New Roman" w:cs="Times New Roman"/>
          <w:kern w:val="0"/>
          <w:sz w:val="20"/>
          <w:szCs w:val="20"/>
          <w:lang w:val="en-US" w:bidi="ar-SA"/>
          <w14:ligatures w14:val="none"/>
        </w:rPr>
        <w:t>Ethereum („</w:t>
      </w:r>
      <w:r w:rsidRPr="00C60F03">
        <w:rPr>
          <w:rFonts w:ascii="Times New Roman" w:eastAsia="MS Mincho" w:hAnsi="Times New Roman" w:cs="Times New Roman"/>
          <w:b/>
          <w:bCs/>
          <w:kern w:val="0"/>
          <w:sz w:val="20"/>
          <w:szCs w:val="20"/>
          <w:lang w:val="en-US" w:bidi="ar-SA"/>
          <w14:ligatures w14:val="none"/>
        </w:rPr>
        <w:t>Indeks</w:t>
      </w:r>
      <w:r w:rsidRPr="00C60F03">
        <w:rPr>
          <w:rFonts w:ascii="Times New Roman" w:eastAsia="MS Mincho" w:hAnsi="Times New Roman" w:cs="Times New Roman"/>
          <w:kern w:val="0"/>
          <w:sz w:val="20"/>
          <w:szCs w:val="20"/>
          <w:lang w:val="en-US" w:bidi="ar-SA"/>
          <w14:ligatures w14:val="none"/>
        </w:rPr>
        <w:t>”) („</w:t>
      </w:r>
      <w:r w:rsidRPr="00C60F03">
        <w:rPr>
          <w:rFonts w:ascii="Times New Roman" w:eastAsia="MS Mincho" w:hAnsi="Times New Roman" w:cs="Times New Roman"/>
          <w:i/>
          <w:iCs/>
          <w:kern w:val="0"/>
          <w:sz w:val="20"/>
          <w:szCs w:val="20"/>
          <w:lang w:val="en-US" w:bidi="ar-SA"/>
          <w14:ligatures w14:val="none"/>
        </w:rPr>
        <w:t>1.4.1 Sposób ustalenia Ceny Emisyjnej</w:t>
      </w:r>
      <w:r w:rsidRPr="00C60F03">
        <w:rPr>
          <w:rFonts w:ascii="Times New Roman" w:eastAsia="MS Mincho" w:hAnsi="Times New Roman" w:cs="Times New Roman"/>
          <w:kern w:val="0"/>
          <w:sz w:val="20"/>
          <w:szCs w:val="20"/>
          <w:lang w:val="en-US" w:bidi="ar-SA"/>
          <w14:ligatures w14:val="none"/>
        </w:rPr>
        <w:t xml:space="preserve">”) („Prawo do </w:t>
      </w:r>
      <w:r w:rsidRPr="00C60F03">
        <w:rPr>
          <w:rFonts w:ascii="Times New Roman" w:eastAsia="MS Mincho" w:hAnsi="Times New Roman" w:cs="Times New Roman"/>
          <w:b/>
          <w:bCs/>
          <w:kern w:val="0"/>
          <w:sz w:val="20"/>
          <w:szCs w:val="20"/>
          <w:lang w:val="en-US" w:bidi="ar-SA"/>
          <w14:ligatures w14:val="none"/>
        </w:rPr>
        <w:t>Świadczenia w Kryptowalucie</w:t>
      </w:r>
      <w:r w:rsidRPr="00C60F03">
        <w:rPr>
          <w:rFonts w:ascii="Times New Roman" w:eastAsia="MS Mincho" w:hAnsi="Times New Roman" w:cs="Times New Roman"/>
          <w:kern w:val="0"/>
          <w:sz w:val="20"/>
          <w:szCs w:val="20"/>
          <w:lang w:val="en-US" w:bidi="ar-SA"/>
          <w14:ligatures w14:val="none"/>
        </w:rPr>
        <w:t>”) lub (b) zapłaty kwoty w dolarach amerykańskich ("</w:t>
      </w:r>
      <w:r w:rsidRPr="00C60F03">
        <w:rPr>
          <w:rFonts w:ascii="Times New Roman" w:eastAsia="MS Mincho" w:hAnsi="Times New Roman" w:cs="Times New Roman"/>
          <w:b/>
          <w:bCs/>
          <w:kern w:val="0"/>
          <w:sz w:val="20"/>
          <w:szCs w:val="20"/>
          <w:lang w:val="en-US" w:bidi="ar-SA"/>
          <w14:ligatures w14:val="none"/>
        </w:rPr>
        <w:t>USD</w:t>
      </w:r>
      <w:r w:rsidRPr="00C60F03">
        <w:rPr>
          <w:rFonts w:ascii="Times New Roman" w:eastAsia="MS Mincho" w:hAnsi="Times New Roman" w:cs="Times New Roman"/>
          <w:kern w:val="0"/>
          <w:sz w:val="20"/>
          <w:szCs w:val="20"/>
          <w:lang w:val="en-US" w:bidi="ar-SA"/>
          <w14:ligatures w14:val="none"/>
        </w:rPr>
        <w:t>") ustalonej zgodnie z odpowiednimi postanowieniami warunków („</w:t>
      </w:r>
      <w:r w:rsidRPr="00C60F03">
        <w:rPr>
          <w:rFonts w:ascii="Times New Roman" w:eastAsia="MS Mincho" w:hAnsi="Times New Roman" w:cs="Times New Roman"/>
          <w:b/>
          <w:bCs/>
          <w:kern w:val="0"/>
          <w:sz w:val="20"/>
          <w:szCs w:val="20"/>
          <w:lang w:val="en-US" w:bidi="ar-SA"/>
          <w14:ligatures w14:val="none"/>
        </w:rPr>
        <w:t>Warunki</w:t>
      </w:r>
      <w:r w:rsidRPr="00C60F03">
        <w:rPr>
          <w:rFonts w:ascii="Times New Roman" w:eastAsia="MS Mincho" w:hAnsi="Times New Roman" w:cs="Times New Roman"/>
          <w:kern w:val="0"/>
          <w:sz w:val="20"/>
          <w:szCs w:val="20"/>
          <w:lang w:val="en-US" w:bidi="ar-SA"/>
          <w14:ligatures w14:val="none"/>
        </w:rPr>
        <w:t>”). Zobowiązania z tytułu Obligacji stanowią bezpośrednie, niepodporządkowane i zabezpieczone zobowiązania Emitenta o takim samym uprzywilejowaniu (i) wobec siebie nawzajem, (ii) jak wszelkie Zabezpieczone Zobowiązania z tytułu Wykupów Dobrowolnych i Zabezpieczone Zobowiązania Rozliczeniowe (jak zdefiniowano poniżej) („</w:t>
      </w:r>
      <w:r w:rsidRPr="00C60F03">
        <w:rPr>
          <w:rFonts w:ascii="Times New Roman" w:eastAsia="MS Mincho" w:hAnsi="Times New Roman" w:cs="Times New Roman"/>
          <w:i/>
          <w:iCs/>
          <w:kern w:val="0"/>
          <w:sz w:val="20"/>
          <w:szCs w:val="20"/>
          <w:lang w:val="en-US" w:bidi="ar-SA"/>
          <w14:ligatures w14:val="none"/>
        </w:rPr>
        <w:t>1.3.3. Ryzyko związane z Dobrowolnymi Wykupami</w:t>
      </w:r>
      <w:r w:rsidRPr="00C60F03">
        <w:rPr>
          <w:rFonts w:ascii="Times New Roman" w:eastAsia="MS Mincho" w:hAnsi="Times New Roman" w:cs="Times New Roman"/>
          <w:kern w:val="0"/>
          <w:sz w:val="20"/>
          <w:szCs w:val="20"/>
          <w:lang w:val="en-US" w:bidi="ar-SA"/>
          <w14:ligatures w14:val="none"/>
        </w:rPr>
        <w:t>”) oraz (iii) jak wszelkie zobowiązania Emitenta do przeniesienia Obligacji na rzecz podmiotu wyznaczonego przez Emitenta jako upoważniony uczestnik („</w:t>
      </w:r>
      <w:r w:rsidRPr="00C60F03">
        <w:rPr>
          <w:rFonts w:ascii="Times New Roman" w:eastAsia="MS Mincho" w:hAnsi="Times New Roman" w:cs="Times New Roman"/>
          <w:b/>
          <w:bCs/>
          <w:kern w:val="0"/>
          <w:sz w:val="20"/>
          <w:szCs w:val="20"/>
          <w:lang w:val="en-US" w:bidi="ar-SA"/>
          <w14:ligatures w14:val="none"/>
        </w:rPr>
        <w:t>Upoważniony Uczestnik</w:t>
      </w:r>
      <w:r w:rsidRPr="00C60F03">
        <w:rPr>
          <w:rFonts w:ascii="Times New Roman" w:eastAsia="MS Mincho" w:hAnsi="Times New Roman" w:cs="Times New Roman"/>
          <w:kern w:val="0"/>
          <w:sz w:val="20"/>
          <w:szCs w:val="20"/>
          <w:lang w:val="en-US" w:bidi="ar-SA"/>
          <w14:ligatures w14:val="none"/>
        </w:rPr>
        <w:t>”), jeżeli taki Upoważniony Uczestnik przekazał co najmniej Prawo do Świadczenia w Kryptowalucie przypadające na jedną Obligację obejmowaną lub nabywaną do portfela depozytowego prowadzonego przez Zodia Custody (Ireland) Limited („</w:t>
      </w:r>
      <w:r w:rsidRPr="00C60F03">
        <w:rPr>
          <w:rFonts w:ascii="Times New Roman" w:eastAsia="MS Mincho" w:hAnsi="Times New Roman" w:cs="Times New Roman"/>
          <w:b/>
          <w:bCs/>
          <w:kern w:val="0"/>
          <w:sz w:val="20"/>
          <w:szCs w:val="20"/>
          <w:lang w:val="en-US" w:bidi="ar-SA"/>
          <w14:ligatures w14:val="none"/>
        </w:rPr>
        <w:t>Portfel Depozytowy</w:t>
      </w:r>
      <w:r w:rsidRPr="00C60F03">
        <w:rPr>
          <w:rFonts w:ascii="Times New Roman" w:eastAsia="MS Mincho" w:hAnsi="Times New Roman" w:cs="Times New Roman"/>
          <w:kern w:val="0"/>
          <w:sz w:val="20"/>
          <w:szCs w:val="20"/>
          <w:lang w:val="en-US" w:bidi="ar-SA"/>
          <w14:ligatures w14:val="none"/>
        </w:rPr>
        <w:t>” a takie zobowiązania – „</w:t>
      </w:r>
      <w:r w:rsidRPr="00C60F03">
        <w:rPr>
          <w:rFonts w:ascii="Times New Roman" w:eastAsia="MS Mincho" w:hAnsi="Times New Roman" w:cs="Times New Roman"/>
          <w:b/>
          <w:bCs/>
          <w:kern w:val="0"/>
          <w:sz w:val="20"/>
          <w:szCs w:val="20"/>
          <w:lang w:val="en-US" w:bidi="ar-SA"/>
          <w14:ligatures w14:val="none"/>
        </w:rPr>
        <w:t>Zabezpieczone Zobowiązania Rozliczeniowe</w:t>
      </w:r>
      <w:r w:rsidRPr="00C60F03">
        <w:rPr>
          <w:rFonts w:ascii="Times New Roman" w:eastAsia="MS Mincho" w:hAnsi="Times New Roman" w:cs="Times New Roman"/>
          <w:kern w:val="0"/>
          <w:sz w:val="20"/>
          <w:szCs w:val="20"/>
          <w:lang w:val="en-US" w:bidi="ar-SA"/>
          <w14:ligatures w14:val="none"/>
        </w:rPr>
        <w:t>”). Obligacje można swobodnie zbywać.</w:t>
      </w:r>
    </w:p>
    <w:p w14:paraId="4828CC6E" w14:textId="77777777" w:rsidR="00537063" w:rsidRPr="00C60F03" w:rsidRDefault="00533150" w:rsidP="00533150">
      <w:pPr>
        <w:keepNext/>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 xml:space="preserve">Z Obligacjami związane są następujące prawa: </w:t>
      </w:r>
    </w:p>
    <w:p w14:paraId="2C67C58A" w14:textId="4D942A55" w:rsidR="00533150" w:rsidRPr="00C60F03" w:rsidRDefault="00533150" w:rsidP="00533150">
      <w:pPr>
        <w:keepNext/>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Zabezpieczenie:</w:t>
      </w:r>
      <w:r w:rsidRPr="00C60F03">
        <w:rPr>
          <w:rFonts w:ascii="Times New Roman" w:eastAsia="MS Mincho" w:hAnsi="Times New Roman" w:cs="Times New Roman"/>
          <w:kern w:val="0"/>
          <w:sz w:val="20"/>
          <w:szCs w:val="20"/>
          <w:lang w:val="en-US" w:bidi="ar-SA"/>
          <w14:ligatures w14:val="none"/>
        </w:rPr>
        <w:t xml:space="preserve"> Ustanowienie przez Emitenta na rzecz Obligatariuszy zastawu na obecnych i przyszłych: prawach i tytule do Portfela Depozytowego i Zdeponowanej Kryptowaluty, udziale w Portfelu Depozytowym i Zdeponowanej Kryptowalucie oraz korzyściach z Portfela Depozytowego i Zdeponowanej Kryptowaluty, a także ustanowienie przez Emitenta na rzecz Obligatariuszy zastawu na Rachunku Emisyjnym i Obligacjach będących własnością Emitenta („</w:t>
      </w:r>
      <w:r w:rsidRPr="00C60F03">
        <w:rPr>
          <w:rFonts w:ascii="Times New Roman" w:eastAsia="MS Mincho" w:hAnsi="Times New Roman" w:cs="Times New Roman"/>
          <w:b/>
          <w:bCs/>
          <w:kern w:val="0"/>
          <w:sz w:val="20"/>
          <w:szCs w:val="20"/>
          <w:lang w:val="en-US" w:bidi="ar-SA"/>
          <w14:ligatures w14:val="none"/>
        </w:rPr>
        <w:t>Zabezpieczenie</w:t>
      </w:r>
      <w:r w:rsidRPr="00C60F03">
        <w:rPr>
          <w:rFonts w:ascii="Times New Roman" w:eastAsia="MS Mincho" w:hAnsi="Times New Roman" w:cs="Times New Roman"/>
          <w:kern w:val="0"/>
          <w:sz w:val="20"/>
          <w:szCs w:val="20"/>
          <w:lang w:val="en-US" w:bidi="ar-SA"/>
          <w14:ligatures w14:val="none"/>
        </w:rPr>
        <w:t>”). Szczegóły dotyczące rachunków oraz warunki poszczególnych zastawów zostaną określone w Dokumentach Zabezpieczenia, które będą dostępne do wglądu Obligatariuszy w głównym miejscu prowadzenia działalności Emitenta (Gridiron, One Pancras Square, London, N1C 4 AG, Zjednoczone Królestwo).</w:t>
      </w:r>
    </w:p>
    <w:p w14:paraId="2411FF46" w14:textId="77777777" w:rsidR="00533150" w:rsidRPr="00C60F03" w:rsidRDefault="00533150" w:rsidP="00533150">
      <w:pPr>
        <w:keepNext/>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Staking:</w:t>
      </w:r>
      <w:r w:rsidRPr="00C60F03">
        <w:rPr>
          <w:rFonts w:ascii="Times New Roman" w:eastAsia="MS Mincho" w:hAnsi="Times New Roman" w:cs="Times New Roman"/>
          <w:kern w:val="0"/>
          <w:sz w:val="20"/>
          <w:szCs w:val="20"/>
          <w:lang w:val="en-US" w:bidi="ar-SA"/>
          <w14:ligatures w14:val="none"/>
        </w:rPr>
        <w:t xml:space="preserve"> Emitent może korzystać z usług dostawcy usług stakingu („</w:t>
      </w:r>
      <w:r w:rsidRPr="00C60F03">
        <w:rPr>
          <w:rFonts w:ascii="Times New Roman" w:eastAsia="MS Mincho" w:hAnsi="Times New Roman" w:cs="Times New Roman"/>
          <w:b/>
          <w:bCs/>
          <w:kern w:val="0"/>
          <w:sz w:val="20"/>
          <w:szCs w:val="20"/>
          <w:lang w:val="en-US" w:bidi="ar-SA"/>
          <w14:ligatures w14:val="none"/>
        </w:rPr>
        <w:t>Dostawca Usług Stakingu</w:t>
      </w:r>
      <w:r w:rsidRPr="00C60F03">
        <w:rPr>
          <w:rFonts w:ascii="Times New Roman" w:eastAsia="MS Mincho" w:hAnsi="Times New Roman" w:cs="Times New Roman"/>
          <w:kern w:val="0"/>
          <w:sz w:val="20"/>
          <w:szCs w:val="20"/>
          <w:lang w:val="en-US" w:bidi="ar-SA"/>
          <w14:ligatures w14:val="none"/>
        </w:rPr>
        <w:t xml:space="preserve">”) do stosowania części lub całości jednostek Kryptowaluty będących częścią Zdeponowanych Kryptowalut do Stakingu. Wszystkie </w:t>
      </w:r>
      <w:r w:rsidRPr="00C60F03">
        <w:rPr>
          <w:rFonts w:ascii="Times New Roman" w:eastAsia="MS Mincho" w:hAnsi="Times New Roman" w:cs="Times New Roman"/>
          <w:kern w:val="0"/>
          <w:sz w:val="20"/>
          <w:szCs w:val="20"/>
          <w:lang w:val="en-US" w:bidi="ar-SA"/>
          <w14:ligatures w14:val="none"/>
        </w:rPr>
        <w:lastRenderedPageBreak/>
        <w:t>jednostki Kryptowaluty otrzymane jako nagrody za ten proces (z uwzględnieniem stosowanych opłat) będą stanowić część Prawa do Świadczenia w Kryptowalucie.</w:t>
      </w:r>
    </w:p>
    <w:p w14:paraId="4AD36839" w14:textId="1E283924" w:rsidR="00533150" w:rsidRPr="00C60F03" w:rsidRDefault="00533150" w:rsidP="002F3F9A">
      <w:pPr>
        <w:keepNext/>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Wykup przymusowy</w:t>
      </w:r>
      <w:r w:rsidRPr="00C60F03">
        <w:rPr>
          <w:rFonts w:ascii="Times New Roman" w:eastAsia="MS Mincho" w:hAnsi="Times New Roman" w:cs="Times New Roman"/>
          <w:kern w:val="0"/>
          <w:sz w:val="20"/>
          <w:szCs w:val="20"/>
          <w:lang w:val="en-US" w:bidi="ar-SA"/>
          <w14:ligatures w14:val="none"/>
        </w:rPr>
        <w:t>: Po wystąpieniu określonych zdarzeń skutkujących wykupem przymusowym Emitent w dowolnym czasie może (ale nie jest do tego zobowiązany), za powiadomieniem Obligatariuszy o odpowiednim zdarzeniu skutkującym wykupem przymusowym („</w:t>
      </w:r>
      <w:r w:rsidRPr="00C60F03">
        <w:rPr>
          <w:rFonts w:ascii="Times New Roman" w:eastAsia="MS Mincho" w:hAnsi="Times New Roman" w:cs="Times New Roman"/>
          <w:b/>
          <w:bCs/>
          <w:kern w:val="0"/>
          <w:sz w:val="20"/>
          <w:szCs w:val="20"/>
          <w:lang w:val="en-US" w:bidi="ar-SA"/>
          <w14:ligatures w14:val="none"/>
        </w:rPr>
        <w:t>Powiadomienie o Wykupie Przymusowym</w:t>
      </w:r>
      <w:r w:rsidRPr="00C60F03">
        <w:rPr>
          <w:rFonts w:ascii="Times New Roman" w:eastAsia="MS Mincho" w:hAnsi="Times New Roman" w:cs="Times New Roman"/>
          <w:kern w:val="0"/>
          <w:sz w:val="20"/>
          <w:szCs w:val="20"/>
          <w:lang w:val="en-US" w:bidi="ar-SA"/>
          <w14:ligatures w14:val="none"/>
        </w:rPr>
        <w:t>”) i wykupić Obligacje w dniu przymusowego wykupu określonym w Powiadomieniu o Wykupie Przymusowym po Cenie Wykupu Przymusowego (jak zdefiniowano poniżej). Takie zdarzenia skutkujące wykupem przymusowym obejmują między innymi zdarzenia, które czynią kontynuację emisji Obligacji i/lub utrzymanie Obligacji w obiegu ekonomicznie lub praktycznie nieopłacalnymi, takie jak, między innymi wejście w życie nowych przepisów prawa lub regulacji, które wymagają od Emitenta uzyskania zezwolenia, aby mógł on wypełniać swoje zobowiązania wynikające z Obligacji; lub wszelkie zmiany w opodatkowaniu Kryptowaluty; lub otrzymanie przez Emitenta nakazu obowiązkowego wykupu wydanego przez właściwy sąd lub jeśli w inny sposób Emitent będzie zobowiązany z mocy prawa do zorganizowania obowiązkowego wykupu. Wykonanie przez Emitenta prawa przymusowego wykupu w każdym przypadku skutkuje wykupem Obligacji dla Obligatariuszy.</w:t>
      </w:r>
    </w:p>
    <w:p w14:paraId="1106C44A" w14:textId="483DA3F6" w:rsidR="002F3F9A" w:rsidRPr="00C60F03" w:rsidRDefault="002F3F9A" w:rsidP="002F3F9A">
      <w:pPr>
        <w:keepNext/>
        <w:spacing w:after="60" w:line="240" w:lineRule="auto"/>
        <w:jc w:val="both"/>
        <w:rPr>
          <w:rFonts w:ascii="Times New Roman" w:eastAsia="MS Mincho" w:hAnsi="Times New Roman" w:cs="Times New Roman"/>
          <w:kern w:val="0"/>
          <w:sz w:val="20"/>
          <w:szCs w:val="20"/>
          <w:lang w:val="en-GB" w:bidi="ar-SA"/>
          <w14:ligatures w14:val="none"/>
        </w:rPr>
      </w:pPr>
      <w:r w:rsidRPr="00C60F03">
        <w:rPr>
          <w:rFonts w:ascii="Times New Roman" w:eastAsia="MS Mincho" w:hAnsi="Times New Roman" w:cs="Times New Roman"/>
          <w:b/>
          <w:bCs/>
          <w:i/>
          <w:iCs/>
          <w:kern w:val="0"/>
          <w:sz w:val="20"/>
          <w:szCs w:val="20"/>
          <w:lang w:val="en-GB" w:bidi="ar-SA"/>
          <w14:ligatures w14:val="none"/>
        </w:rPr>
        <w:t>Wykup dobrowolny:</w:t>
      </w:r>
      <w:r w:rsidRPr="00C60F03">
        <w:rPr>
          <w:rFonts w:ascii="Times New Roman" w:eastAsia="MS Mincho" w:hAnsi="Times New Roman" w:cs="Times New Roman"/>
          <w:kern w:val="0"/>
          <w:sz w:val="20"/>
          <w:szCs w:val="20"/>
          <w:lang w:val="en-GB" w:bidi="ar-SA"/>
          <w14:ligatures w14:val="none"/>
        </w:rPr>
        <w:t xml:space="preserve"> Obligacje nie mają ustalonego terminu wykupu. Jednakże każdy Obligatariusz może wymagać od Emitenta wykupu swoich Obligacji w zamian za fizyczną dostawę Prawa do Świadczenia w Kryptowalucie lub (w spełnieniu roszczenia o dostarczenie Kryptowaluty) w zamian za płatność gotówkową w USD („</w:t>
      </w:r>
      <w:r w:rsidRPr="00C60F03">
        <w:rPr>
          <w:rFonts w:ascii="Times New Roman" w:eastAsia="MS Mincho" w:hAnsi="Times New Roman" w:cs="Times New Roman"/>
          <w:b/>
          <w:bCs/>
          <w:kern w:val="0"/>
          <w:sz w:val="20"/>
          <w:szCs w:val="20"/>
          <w:lang w:val="en-GB" w:bidi="ar-SA"/>
          <w14:ligatures w14:val="none"/>
        </w:rPr>
        <w:t>Wykup Dobrowolny</w:t>
      </w:r>
      <w:r w:rsidRPr="00C60F03">
        <w:rPr>
          <w:rFonts w:ascii="Times New Roman" w:eastAsia="MS Mincho" w:hAnsi="Times New Roman" w:cs="Times New Roman"/>
          <w:kern w:val="0"/>
          <w:sz w:val="20"/>
          <w:szCs w:val="20"/>
          <w:lang w:val="en-GB" w:bidi="ar-SA"/>
          <w14:ligatures w14:val="none"/>
        </w:rPr>
        <w:t xml:space="preserve">”). W przypadku wykupu Obligacji w zamian za płatność gotówkową kwota wykupu będzie równa wpływom ze sprzedaży Prawa do Świadczenia w Kryptowalucie, stosując Procedurę Wykonawczą Kryptowaluty (zdefiniowaną poniżej), o ile taka procedura skutkuje pomyślną sprzedażą. Aby dokonać wykupu swoich Obligacji, Obligatariusz musi (i) złożyć formularz wykupu wraz ze wszystkimi wymaganymi dokumentami KYC, (ii) uiścić z góry opłatę za wykup w wysokości 100,00 </w:t>
      </w:r>
      <w:r w:rsidR="00845908">
        <w:rPr>
          <w:rFonts w:ascii="Times New Roman" w:eastAsia="MS Mincho" w:hAnsi="Times New Roman" w:cs="Times New Roman"/>
          <w:kern w:val="0"/>
          <w:sz w:val="20"/>
          <w:szCs w:val="20"/>
          <w:lang w:val="en-GB" w:bidi="ar-SA"/>
          <w14:ligatures w14:val="none"/>
        </w:rPr>
        <w:t>EUR</w:t>
      </w:r>
      <w:r w:rsidRPr="00C60F03">
        <w:rPr>
          <w:rFonts w:ascii="Times New Roman" w:eastAsia="MS Mincho" w:hAnsi="Times New Roman" w:cs="Times New Roman"/>
          <w:kern w:val="0"/>
          <w:sz w:val="20"/>
          <w:szCs w:val="20"/>
          <w:lang w:val="en-GB" w:bidi="ar-SA"/>
          <w14:ligatures w14:val="none"/>
        </w:rPr>
        <w:t xml:space="preserve"> (podlegającą określonym zwolnieniom) („</w:t>
      </w:r>
      <w:r w:rsidRPr="00C60F03">
        <w:rPr>
          <w:rFonts w:ascii="Times New Roman" w:eastAsia="MS Mincho" w:hAnsi="Times New Roman" w:cs="Times New Roman"/>
          <w:b/>
          <w:bCs/>
          <w:kern w:val="0"/>
          <w:sz w:val="20"/>
          <w:szCs w:val="20"/>
          <w:lang w:val="en-GB" w:bidi="ar-SA"/>
          <w14:ligatures w14:val="none"/>
        </w:rPr>
        <w:t>Opłata za Wykup</w:t>
      </w:r>
      <w:r w:rsidRPr="00C60F03">
        <w:rPr>
          <w:rFonts w:ascii="Times New Roman" w:eastAsia="MS Mincho" w:hAnsi="Times New Roman" w:cs="Times New Roman"/>
          <w:kern w:val="0"/>
          <w:sz w:val="20"/>
          <w:szCs w:val="20"/>
          <w:lang w:val="en-GB" w:bidi="ar-SA"/>
          <w14:ligatures w14:val="none"/>
        </w:rPr>
        <w:t>”) oraz (iii) przenieść Obligacje, w stosunku do których wykonywane jest prawo do Wykupu Dobrowolnego, na Rachunek Emisyjny bez płatności z tego tytułu. W przypadku wykonania prawa do Wykupu Dobrowolnego przez Obligatariusza wobec Emitenta lub wobec Upoważnionego Uczestnika, oprócz (ewentualnej) Opłaty za Wykup pobrana zostanie opłata za wykonanie w wysokości 2,50 procenta wartości Prawa do Świadczenia w Kryptowalucie przypisanej do każdej Obligacji, w stosunku do której wykonywane jest prawo do Wykupu Dobrowolnego („</w:t>
      </w:r>
      <w:r w:rsidRPr="00C60F03">
        <w:rPr>
          <w:rFonts w:ascii="Times New Roman" w:eastAsia="MS Mincho" w:hAnsi="Times New Roman" w:cs="Times New Roman"/>
          <w:b/>
          <w:bCs/>
          <w:kern w:val="0"/>
          <w:sz w:val="20"/>
          <w:szCs w:val="20"/>
          <w:lang w:val="en-GB" w:bidi="ar-SA"/>
          <w14:ligatures w14:val="none"/>
        </w:rPr>
        <w:t>Opłata za Wykonanie</w:t>
      </w:r>
      <w:r w:rsidRPr="00C60F03">
        <w:rPr>
          <w:rFonts w:ascii="Times New Roman" w:eastAsia="MS Mincho" w:hAnsi="Times New Roman" w:cs="Times New Roman"/>
          <w:kern w:val="0"/>
          <w:sz w:val="20"/>
          <w:szCs w:val="20"/>
          <w:lang w:val="en-GB" w:bidi="ar-SA"/>
          <w14:ligatures w14:val="none"/>
        </w:rPr>
        <w:t>”). Jednakże, jeśli Obligatariusz sprzeda swoje Obligacje na giełdzie papierów wartościowych – wówczas od Emitenta lub Upoważnionego Uczestnika nie będą pobierane żadne opłaty za wykup. Jeżeli Obligatariusz wykonuje prawo do Wykupu Dobrowolnego i wybiera wykup za gotówkę, Emitent zleci agentowi wykonawczemu sprzedaż Kryptowaluty w ilości równej Prawu do Świadczenia w Kryptowalucie („</w:t>
      </w:r>
      <w:r w:rsidRPr="00C60F03">
        <w:rPr>
          <w:rFonts w:ascii="Times New Roman" w:eastAsia="MS Mincho" w:hAnsi="Times New Roman" w:cs="Times New Roman"/>
          <w:b/>
          <w:bCs/>
          <w:kern w:val="0"/>
          <w:sz w:val="20"/>
          <w:szCs w:val="20"/>
          <w:lang w:val="en-GB" w:bidi="ar-SA"/>
          <w14:ligatures w14:val="none"/>
        </w:rPr>
        <w:t>Procedura Wykonawcza Kryptowaluty</w:t>
      </w:r>
      <w:r w:rsidRPr="00C60F03">
        <w:rPr>
          <w:rFonts w:ascii="Times New Roman" w:eastAsia="MS Mincho" w:hAnsi="Times New Roman" w:cs="Times New Roman"/>
          <w:kern w:val="0"/>
          <w:sz w:val="20"/>
          <w:szCs w:val="20"/>
          <w:lang w:val="en-GB" w:bidi="ar-SA"/>
          <w14:ligatures w14:val="none"/>
        </w:rPr>
        <w:t>”). Wpływy ze sprzedaży Procedury Wykonawczej Kryptowaluty (po odliczeniu wszelkich stosowanych opłat w związku ze sprzedażą jednostek Kryptowaluty i transferem kwoty gotówkowej) zostaną przeznaczone na wykup Obligacji. Emitent może pobrać Opłatę za Wykonanie od danego Obligatariusza nawet w przypadku częściowo lub całkowicie nieudanej Procedury Wykonawczej Kryptowaluty.</w:t>
      </w:r>
    </w:p>
    <w:p w14:paraId="4BA4FFB5" w14:textId="77777777" w:rsidR="002F3F9A" w:rsidRPr="00C60F03" w:rsidRDefault="002F3F9A" w:rsidP="002F3F9A">
      <w:pPr>
        <w:keepNext/>
        <w:spacing w:after="60" w:line="240" w:lineRule="auto"/>
        <w:jc w:val="both"/>
        <w:rPr>
          <w:rFonts w:ascii="Times New Roman" w:eastAsia="MS Mincho" w:hAnsi="Times New Roman" w:cs="Times New Roman"/>
          <w:kern w:val="0"/>
          <w:sz w:val="20"/>
          <w:szCs w:val="20"/>
          <w:lang w:val="en-GB" w:bidi="ar-SA"/>
          <w14:ligatures w14:val="none"/>
        </w:rPr>
      </w:pPr>
      <w:r w:rsidRPr="00C60F03">
        <w:rPr>
          <w:rFonts w:ascii="Times New Roman" w:eastAsia="MS Mincho" w:hAnsi="Times New Roman" w:cs="Times New Roman"/>
          <w:b/>
          <w:bCs/>
          <w:i/>
          <w:iCs/>
          <w:kern w:val="0"/>
          <w:sz w:val="20"/>
          <w:szCs w:val="20"/>
          <w:lang w:val="en-GB" w:bidi="ar-SA"/>
          <w14:ligatures w14:val="none"/>
        </w:rPr>
        <w:t>Wykup w Przypadku Naruszenia:</w:t>
      </w:r>
      <w:r w:rsidRPr="00C60F03">
        <w:rPr>
          <w:rFonts w:ascii="Times New Roman" w:eastAsia="MS Mincho" w:hAnsi="Times New Roman" w:cs="Times New Roman"/>
          <w:kern w:val="0"/>
          <w:sz w:val="20"/>
          <w:szCs w:val="20"/>
          <w:lang w:val="en-GB" w:bidi="ar-SA"/>
          <w14:ligatures w14:val="none"/>
        </w:rPr>
        <w:t xml:space="preserve"> Warunki Obligacji przewidują przypadki naruszenia, uprawniające każdego Obligatariusza do żądania natychmiastowego wykupu za kwotę Prawa do Świadczenia w Kryptowalucie.</w:t>
      </w:r>
    </w:p>
    <w:p w14:paraId="13F29EC5" w14:textId="77777777" w:rsidR="002F3F9A" w:rsidRPr="00C60F03" w:rsidRDefault="002F3F9A" w:rsidP="002F3F9A">
      <w:pPr>
        <w:keepNext/>
        <w:spacing w:after="60" w:line="240" w:lineRule="auto"/>
        <w:jc w:val="both"/>
        <w:rPr>
          <w:rFonts w:ascii="Times New Roman" w:eastAsia="MS Mincho" w:hAnsi="Times New Roman" w:cs="Times New Roman"/>
          <w:kern w:val="0"/>
          <w:sz w:val="20"/>
          <w:szCs w:val="20"/>
          <w:lang w:val="en-GB" w:bidi="ar-SA"/>
          <w14:ligatures w14:val="none"/>
        </w:rPr>
      </w:pPr>
      <w:r w:rsidRPr="00C60F03">
        <w:rPr>
          <w:rFonts w:ascii="Times New Roman" w:eastAsia="MS Mincho" w:hAnsi="Times New Roman" w:cs="Times New Roman"/>
          <w:b/>
          <w:bCs/>
          <w:i/>
          <w:iCs/>
          <w:kern w:val="0"/>
          <w:sz w:val="20"/>
          <w:szCs w:val="20"/>
          <w:lang w:val="en-GB" w:bidi="ar-SA"/>
          <w14:ligatures w14:val="none"/>
        </w:rPr>
        <w:t xml:space="preserve">Dostosowania do Prawa do Świadczenia w Kryptowalucie: </w:t>
      </w:r>
      <w:r w:rsidRPr="00C60F03">
        <w:rPr>
          <w:rFonts w:ascii="Times New Roman" w:eastAsia="MS Mincho" w:hAnsi="Times New Roman" w:cs="Times New Roman"/>
          <w:kern w:val="0"/>
          <w:sz w:val="20"/>
          <w:szCs w:val="20"/>
          <w:lang w:val="en-GB" w:bidi="ar-SA"/>
          <w14:ligatures w14:val="none"/>
        </w:rPr>
        <w:t>W przypadku wystąpienia określonych zdarzeń wpływających na bazową Kryptowalutę i/lub Prawo do Świadczenia w Kryptowalucie (każde z nich, „Zdarzenie Dostosowawcze”), Emitent dokona dostosowań do Kryptowaluty lub Prawa do Świadczenia w Kryptowalucie, zawiesi planowane równoważenia Indeksu lub zastąpi odpowiedni bazowy Indeks podobnym nowym Indeksem, w każdym przypadku, jeśli i o ile zostanie to uznane za konieczne w jego opinii.</w:t>
      </w:r>
    </w:p>
    <w:p w14:paraId="0B4CBFF4" w14:textId="0CAE2B43" w:rsidR="002F3F9A" w:rsidRPr="00C60F03" w:rsidRDefault="002F3F9A" w:rsidP="00117542">
      <w:pPr>
        <w:keepNext/>
        <w:spacing w:after="60" w:line="240" w:lineRule="auto"/>
        <w:jc w:val="both"/>
        <w:rPr>
          <w:rFonts w:ascii="Times New Roman" w:eastAsia="MS Mincho" w:hAnsi="Times New Roman" w:cs="Times New Roman"/>
          <w:kern w:val="0"/>
          <w:sz w:val="20"/>
          <w:szCs w:val="20"/>
          <w:lang w:val="en-GB" w:bidi="ar-SA"/>
          <w14:ligatures w14:val="none"/>
        </w:rPr>
      </w:pPr>
      <w:r w:rsidRPr="00C60F03">
        <w:rPr>
          <w:rFonts w:ascii="Times New Roman" w:eastAsia="MS Mincho" w:hAnsi="Times New Roman" w:cs="Times New Roman"/>
          <w:b/>
          <w:bCs/>
          <w:i/>
          <w:iCs/>
          <w:kern w:val="0"/>
          <w:sz w:val="20"/>
          <w:szCs w:val="20"/>
          <w:lang w:val="en-GB" w:bidi="ar-SA"/>
          <w14:ligatures w14:val="none"/>
        </w:rPr>
        <w:t>Zawieszenie Wykupów:</w:t>
      </w:r>
      <w:r w:rsidRPr="00C60F03">
        <w:rPr>
          <w:rFonts w:ascii="Times New Roman" w:eastAsia="MS Mincho" w:hAnsi="Times New Roman" w:cs="Times New Roman"/>
          <w:kern w:val="0"/>
          <w:sz w:val="20"/>
          <w:szCs w:val="20"/>
          <w:lang w:val="en-GB" w:bidi="ar-SA"/>
          <w14:ligatures w14:val="none"/>
        </w:rPr>
        <w:t xml:space="preserve"> W przypadku wystąpienia określonych zdarzeń powodujących zakłócenia w odniesieniu do (i) handlu Kryptowalutą, (ii) usług, które mają być świadczone przez dostawcę usług, (iii) Depozytariusza i/lub protokołu jakiejkolwiek stosownej Kryptowaluty lub (iv) jakichkolwiek obliczeń dotyczących Obligacji (każde z nich, „</w:t>
      </w:r>
      <w:r w:rsidRPr="00C60F03">
        <w:rPr>
          <w:rFonts w:ascii="Times New Roman" w:eastAsia="MS Mincho" w:hAnsi="Times New Roman" w:cs="Times New Roman"/>
          <w:b/>
          <w:bCs/>
          <w:kern w:val="0"/>
          <w:sz w:val="20"/>
          <w:szCs w:val="20"/>
          <w:lang w:val="en-GB" w:bidi="ar-SA"/>
          <w14:ligatures w14:val="none"/>
        </w:rPr>
        <w:t>Zdarzenie Zakłócające</w:t>
      </w:r>
      <w:r w:rsidRPr="00C60F03">
        <w:rPr>
          <w:rFonts w:ascii="Times New Roman" w:eastAsia="MS Mincho" w:hAnsi="Times New Roman" w:cs="Times New Roman"/>
          <w:kern w:val="0"/>
          <w:sz w:val="20"/>
          <w:szCs w:val="20"/>
          <w:lang w:val="en-GB" w:bidi="ar-SA"/>
          <w14:ligatures w14:val="none"/>
        </w:rPr>
        <w:t>”), Emitent może zawiesić prawa do lub terminy (i) składania wniosków o wykup, (ii) dokonywania rozliczeń jakichkolwiek wykupów lub (iii) jakichkolwiek dat wykupu, rozliczenia lub płatności z nimi związanych.</w:t>
      </w:r>
    </w:p>
    <w:p w14:paraId="16F269E4" w14:textId="3B2343AC" w:rsidR="00AF19C9" w:rsidRPr="00C60F03" w:rsidRDefault="007A3296" w:rsidP="00AF19C9">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C60F03">
        <w:rPr>
          <w:rFonts w:ascii="Times New Roman" w:eastAsia="Times New Roman" w:hAnsi="Times New Roman" w:cs="Times New Roman"/>
          <w:b/>
          <w:bCs/>
          <w:color w:val="000000"/>
          <w:kern w:val="0"/>
          <w:sz w:val="20"/>
          <w:szCs w:val="20"/>
          <w:lang w:val="en-US" w:bidi="ar-SA"/>
          <w14:ligatures w14:val="none"/>
        </w:rPr>
        <w:t>Gdzie te papiery wartościowe będą przedmiotem obrotu?</w:t>
      </w:r>
    </w:p>
    <w:p w14:paraId="7B5B160A" w14:textId="76C7C52A" w:rsidR="006A1DCE" w:rsidRPr="00C60F03" w:rsidRDefault="00351300" w:rsidP="00971C27">
      <w:pPr>
        <w:keepNext/>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Emitent</w:t>
      </w:r>
      <w:r w:rsidR="00523D4D"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val="en-US" w:bidi="ar-SA"/>
          <w14:ligatures w14:val="none"/>
        </w:rPr>
        <w:t>zamierza złożyć wniosek o dopuszczenie Obligacji do obrotu na rynku regulowanym Giełdy Papierów</w:t>
      </w:r>
      <w:r w:rsidR="00523D4D"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val="en-US" w:bidi="ar-SA"/>
          <w14:ligatures w14:val="none"/>
        </w:rPr>
        <w:t>Wartościowych we Frankfurcie i giełdzie SIX Swiss Exchange. Emitent może podjąć decyzję o wprowadzeniu</w:t>
      </w:r>
      <w:r w:rsidR="00523D4D"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val="en-US" w:bidi="ar-SA"/>
          <w14:ligatures w14:val="none"/>
        </w:rPr>
        <w:t>Obligacji do obrotu na innych lub kolejnych rynkach regulowanych lub zorganizować obrót Obligacjami na</w:t>
      </w:r>
      <w:r w:rsidR="00523D4D"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val="en-US" w:bidi="ar-SA"/>
          <w14:ligatures w14:val="none"/>
        </w:rPr>
        <w:t>wielostronnych platformach obrotu, zorganizowanych platformach obrotu lub za pośrednictwem podmiotów</w:t>
      </w:r>
      <w:r w:rsidR="00523D4D"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val="en-US" w:bidi="ar-SA"/>
          <w14:ligatures w14:val="none"/>
        </w:rPr>
        <w:t>systematycznie internalizujących transakcje, w rozumieniu Dyrektywy Parlamentu Europejskiego i Rady</w:t>
      </w:r>
      <w:r w:rsidR="00523D4D"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val="en-US" w:bidi="ar-SA"/>
          <w14:ligatures w14:val="none"/>
        </w:rPr>
        <w:t>2014/65/UE z dnia 15 maja 2014 r. w sprawie rynków instrumentów finansowych.</w:t>
      </w:r>
    </w:p>
    <w:p w14:paraId="4522DF88" w14:textId="765A8697" w:rsidR="00AF19C9" w:rsidRPr="00C60F03" w:rsidRDefault="006A1DCE" w:rsidP="00AF19C9">
      <w:pPr>
        <w:numPr>
          <w:ilvl w:val="2"/>
          <w:numId w:val="1"/>
        </w:numPr>
        <w:tabs>
          <w:tab w:val="num" w:pos="720"/>
        </w:tabs>
        <w:spacing w:after="18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C60F03">
        <w:rPr>
          <w:rFonts w:ascii="Times New Roman" w:eastAsia="Times New Roman" w:hAnsi="Times New Roman" w:cs="Times New Roman"/>
          <w:b/>
          <w:bCs/>
          <w:color w:val="000000"/>
          <w:kern w:val="0"/>
          <w:sz w:val="20"/>
          <w:szCs w:val="20"/>
          <w:lang w:val="en-US" w:bidi="ar-SA"/>
          <w14:ligatures w14:val="none"/>
        </w:rPr>
        <w:t>Jakie są główne rodzaje ryzyka szczególne dla przedmiotowych papierów wartościowych?</w:t>
      </w:r>
    </w:p>
    <w:p w14:paraId="65E637A6" w14:textId="6A2D5F6A" w:rsidR="00AF19C9" w:rsidRPr="00C60F03" w:rsidRDefault="00523D4D" w:rsidP="00E06483">
      <w:pPr>
        <w:spacing w:after="60" w:line="240" w:lineRule="auto"/>
        <w:rPr>
          <w:rFonts w:ascii="Times New Roman" w:eastAsia="MS Mincho" w:hAnsi="Times New Roman" w:cs="Times New Roman"/>
          <w:i/>
          <w:kern w:val="0"/>
          <w:sz w:val="20"/>
          <w:szCs w:val="20"/>
          <w:lang w:val="en-US" w:bidi="ar-SA"/>
          <w14:ligatures w14:val="none"/>
        </w:rPr>
      </w:pPr>
      <w:r w:rsidRPr="00C60F03">
        <w:rPr>
          <w:rFonts w:ascii="Times New Roman" w:eastAsia="MS Mincho" w:hAnsi="Times New Roman" w:cs="Times New Roman"/>
          <w:i/>
          <w:kern w:val="0"/>
          <w:sz w:val="20"/>
          <w:szCs w:val="20"/>
          <w:lang w:val="en-US" w:bidi="ar-SA"/>
          <w14:ligatures w14:val="none"/>
        </w:rPr>
        <w:t>Następujące kluczowe ryzyka mogą prowadzić do znacznych strat dla Obligatariuszy. Każdy Obligatariusz</w:t>
      </w:r>
      <w:r w:rsidR="00E06483" w:rsidRPr="00C60F03">
        <w:rPr>
          <w:rFonts w:ascii="Times New Roman" w:eastAsia="MS Mincho" w:hAnsi="Times New Roman" w:cs="Times New Roman"/>
          <w:i/>
          <w:kern w:val="0"/>
          <w:sz w:val="20"/>
          <w:szCs w:val="20"/>
          <w:lang w:val="en-US" w:bidi="ar-SA"/>
          <w14:ligatures w14:val="none"/>
        </w:rPr>
        <w:t xml:space="preserve"> </w:t>
      </w:r>
      <w:r w:rsidRPr="00C60F03">
        <w:rPr>
          <w:rFonts w:ascii="Times New Roman" w:eastAsia="MS Mincho" w:hAnsi="Times New Roman" w:cs="Times New Roman"/>
          <w:i/>
          <w:kern w:val="0"/>
          <w:sz w:val="20"/>
          <w:szCs w:val="20"/>
          <w:lang w:val="en-US" w:bidi="ar-SA"/>
          <w14:ligatures w14:val="none"/>
        </w:rPr>
        <w:t>musiałby ponosić straty w przypadku sprzedaży swoich Obligacji lub w związku ze spłatą kapitału:</w:t>
      </w:r>
    </w:p>
    <w:p w14:paraId="3AC26427" w14:textId="77777777" w:rsidR="00A177F8" w:rsidRPr="00C60F03" w:rsidRDefault="00A177F8" w:rsidP="00A177F8">
      <w:pPr>
        <w:spacing w:after="60" w:line="240" w:lineRule="auto"/>
        <w:jc w:val="both"/>
        <w:rPr>
          <w:rFonts w:ascii="Times New Roman" w:eastAsia="MS Mincho" w:hAnsi="Times New Roman" w:cs="Times New Roman"/>
          <w:b/>
          <w:bCs/>
          <w:kern w:val="0"/>
          <w:sz w:val="20"/>
          <w:szCs w:val="20"/>
          <w:lang w:val="en-GB" w:bidi="ar-SA"/>
          <w14:ligatures w14:val="none"/>
        </w:rPr>
      </w:pPr>
      <w:r w:rsidRPr="00C60F03">
        <w:rPr>
          <w:rFonts w:ascii="Times New Roman" w:eastAsia="MS Mincho" w:hAnsi="Times New Roman" w:cs="Times New Roman"/>
          <w:b/>
          <w:bCs/>
          <w:kern w:val="0"/>
          <w:sz w:val="20"/>
          <w:szCs w:val="20"/>
          <w:lang w:val="en-GB" w:bidi="ar-SA"/>
          <w14:ligatures w14:val="none"/>
        </w:rPr>
        <w:lastRenderedPageBreak/>
        <w:t xml:space="preserve">Ryzyka związane z charakterem Obligacji i Warunkami Obligacji </w:t>
      </w:r>
    </w:p>
    <w:p w14:paraId="2A3CA411" w14:textId="77777777" w:rsidR="00A177F8" w:rsidRPr="00C60F03" w:rsidRDefault="00A177F8" w:rsidP="00A177F8">
      <w:pPr>
        <w:spacing w:after="60" w:line="240" w:lineRule="auto"/>
        <w:jc w:val="both"/>
        <w:rPr>
          <w:rFonts w:ascii="Times New Roman" w:eastAsia="MS Mincho" w:hAnsi="Times New Roman" w:cs="Times New Roman"/>
          <w:kern w:val="0"/>
          <w:sz w:val="20"/>
          <w:szCs w:val="20"/>
          <w:lang w:val="en-GB" w:bidi="ar-SA"/>
          <w14:ligatures w14:val="none"/>
        </w:rPr>
      </w:pPr>
      <w:r w:rsidRPr="00C60F03">
        <w:rPr>
          <w:rFonts w:ascii="Times New Roman" w:eastAsia="MS Mincho" w:hAnsi="Times New Roman" w:cs="Times New Roman"/>
          <w:b/>
          <w:bCs/>
          <w:i/>
          <w:iCs/>
          <w:kern w:val="0"/>
          <w:sz w:val="20"/>
          <w:szCs w:val="20"/>
          <w:lang w:val="en-GB" w:bidi="ar-SA"/>
          <w14:ligatures w14:val="none"/>
        </w:rPr>
        <w:t>Ryzyko straty związane z procedurą stakingu:</w:t>
      </w:r>
      <w:r w:rsidRPr="00C60F03">
        <w:rPr>
          <w:rFonts w:ascii="Times New Roman" w:eastAsia="MS Mincho" w:hAnsi="Times New Roman" w:cs="Times New Roman"/>
          <w:kern w:val="0"/>
          <w:sz w:val="20"/>
          <w:szCs w:val="20"/>
          <w:lang w:val="en-GB" w:bidi="ar-SA"/>
          <w14:ligatures w14:val="none"/>
        </w:rPr>
        <w:t xml:space="preserve"> Pewne protokoły proof of stake nakładają kary na walidatorów, którzy zaniedbują lub w złej wierze walidują transakcje w ramach protokołów („</w:t>
      </w:r>
      <w:r w:rsidRPr="00C60F03">
        <w:rPr>
          <w:rFonts w:ascii="Times New Roman" w:eastAsia="MS Mincho" w:hAnsi="Times New Roman" w:cs="Times New Roman"/>
          <w:b/>
          <w:bCs/>
          <w:kern w:val="0"/>
          <w:sz w:val="20"/>
          <w:szCs w:val="20"/>
          <w:lang w:val="en-GB" w:bidi="ar-SA"/>
          <w14:ligatures w14:val="none"/>
        </w:rPr>
        <w:t>Kary za Staking</w:t>
      </w:r>
      <w:r w:rsidRPr="00C60F03">
        <w:rPr>
          <w:rFonts w:ascii="Times New Roman" w:eastAsia="MS Mincho" w:hAnsi="Times New Roman" w:cs="Times New Roman"/>
          <w:kern w:val="0"/>
          <w:sz w:val="20"/>
          <w:szCs w:val="20"/>
          <w:lang w:val="en-GB" w:bidi="ar-SA"/>
          <w14:ligatures w14:val="none"/>
        </w:rPr>
        <w:t xml:space="preserve">”). Takie kary za staking mogą być również nakładane z powodu niezamierzonych błędów, problemów technologicznych, ataków hakerskich i innych działań złośliwych. Kary za staking mogą obejmować utratę nagród, jak również utratę jednostek podstawowej Kryptowaluty poddanej stakingowi. Jeśli takie kary za staking zostaną nałożone na Kryptowaluty stosowane do stakingu przez Emitenta, a Emitent nie jest w stanie w pełni złagodzić lub zrekompensować skutków tych zdarzeń na Zabezpieczone Kwoty Zobowiązań ze względu na to, że Dostawca Stakingu lub Depozytariusz nie są w stanie spełnić swoich zobowiązań wobec Emitenta, Emitent ma prawo dostosować Prawo do Świadczenia w Kryptowalucie. Skutecznie spowoduje to obniżenie Prawa do Świadczenia w Kryptowalucie, nawet do zera, tak że inwestorzy w takie Obligacje mogą ponieść całkowitą stratę swojej inwestycji. </w:t>
      </w:r>
    </w:p>
    <w:p w14:paraId="7F8C2A63" w14:textId="77777777" w:rsidR="00A177F8" w:rsidRPr="00C60F03" w:rsidRDefault="00A177F8" w:rsidP="00A177F8">
      <w:pPr>
        <w:spacing w:after="60" w:line="240" w:lineRule="auto"/>
        <w:jc w:val="both"/>
        <w:rPr>
          <w:rFonts w:ascii="Times New Roman" w:eastAsia="MS Mincho" w:hAnsi="Times New Roman" w:cs="Times New Roman"/>
          <w:kern w:val="0"/>
          <w:sz w:val="20"/>
          <w:szCs w:val="20"/>
          <w:lang w:val="en-GB" w:bidi="ar-SA"/>
          <w14:ligatures w14:val="none"/>
        </w:rPr>
      </w:pPr>
      <w:r w:rsidRPr="00C60F03">
        <w:rPr>
          <w:rFonts w:ascii="Times New Roman" w:eastAsia="MS Mincho" w:hAnsi="Times New Roman" w:cs="Times New Roman"/>
          <w:b/>
          <w:bCs/>
          <w:i/>
          <w:iCs/>
          <w:kern w:val="0"/>
          <w:sz w:val="20"/>
          <w:szCs w:val="20"/>
          <w:lang w:val="en-GB" w:bidi="ar-SA"/>
          <w14:ligatures w14:val="none"/>
        </w:rPr>
        <w:t>Ryzyko związane z opóźnioną deponacją Nagród za Staking:</w:t>
      </w:r>
      <w:r w:rsidRPr="00C60F03">
        <w:rPr>
          <w:rFonts w:ascii="Times New Roman" w:eastAsia="MS Mincho" w:hAnsi="Times New Roman" w:cs="Times New Roman"/>
          <w:kern w:val="0"/>
          <w:sz w:val="20"/>
          <w:szCs w:val="20"/>
          <w:lang w:val="en-GB" w:bidi="ar-SA"/>
          <w14:ligatures w14:val="none"/>
        </w:rPr>
        <w:t xml:space="preserve"> Chociaż wszystkie jednostki Kryptowaluty otrzymane przez Emitenta w związku z subskrypcją Obligacji będą bezpośrednio przekazywane do Portfela Depozytowego i zabezpieczone umową zabezpieczającą na korzyść Obligatariuszy, nagrody otrzymane za Staking („</w:t>
      </w:r>
      <w:r w:rsidRPr="00C60F03">
        <w:rPr>
          <w:rFonts w:ascii="Times New Roman" w:eastAsia="MS Mincho" w:hAnsi="Times New Roman" w:cs="Times New Roman"/>
          <w:b/>
          <w:bCs/>
          <w:kern w:val="0"/>
          <w:sz w:val="20"/>
          <w:szCs w:val="20"/>
          <w:lang w:val="en-GB" w:bidi="ar-SA"/>
          <w14:ligatures w14:val="none"/>
        </w:rPr>
        <w:t>Nagrody za Staking</w:t>
      </w:r>
      <w:r w:rsidRPr="00C60F03">
        <w:rPr>
          <w:rFonts w:ascii="Times New Roman" w:eastAsia="MS Mincho" w:hAnsi="Times New Roman" w:cs="Times New Roman"/>
          <w:kern w:val="0"/>
          <w:sz w:val="20"/>
          <w:szCs w:val="20"/>
          <w:lang w:val="en-GB" w:bidi="ar-SA"/>
          <w14:ligatures w14:val="none"/>
        </w:rPr>
        <w:t xml:space="preserve">”) nie będą wypłacane i przenoszone do Portfela Depozytowego natychmiast, ale jakiekolwiek płatności i przeniesienia takich Nagród za Staking podlegają zasadom odpowiedniego bazowego protokołu. Płatność i przeniesienie jednostek odpowiedniej bazowej Kryptowaluty zdobytej jako Nagrody za Staking oraz deponowanie takich Nagród za Staking w Portfelu Depozytowym może zatem wymagać pewnego czasu, podczas którego Nagrody za Staking nie stanowią części Zdeponowanej Kryptowaluty. W związku z tym Obligatariusze mogą nie być wystarczająco zabezpieczeni w przypadku upadłości lub likwidacji Dostawcy Stakingu z różnych przyczyn w tym okresie. </w:t>
      </w:r>
    </w:p>
    <w:p w14:paraId="2379322E" w14:textId="736EDFC9" w:rsidR="00A177F8" w:rsidRPr="00C60F03" w:rsidRDefault="00A177F8" w:rsidP="00F2309E">
      <w:pPr>
        <w:spacing w:after="60" w:line="240" w:lineRule="auto"/>
        <w:jc w:val="both"/>
        <w:rPr>
          <w:rFonts w:ascii="Times New Roman" w:eastAsia="MS Mincho" w:hAnsi="Times New Roman" w:cs="Times New Roman"/>
          <w:kern w:val="0"/>
          <w:sz w:val="20"/>
          <w:szCs w:val="20"/>
          <w:lang w:val="en-GB" w:bidi="ar-SA"/>
          <w14:ligatures w14:val="none"/>
        </w:rPr>
      </w:pPr>
      <w:r w:rsidRPr="00C60F03">
        <w:rPr>
          <w:rFonts w:ascii="Times New Roman" w:eastAsia="MS Mincho" w:hAnsi="Times New Roman" w:cs="Times New Roman"/>
          <w:b/>
          <w:bCs/>
          <w:i/>
          <w:iCs/>
          <w:kern w:val="0"/>
          <w:sz w:val="20"/>
          <w:szCs w:val="20"/>
          <w:lang w:val="en-GB" w:bidi="ar-SA"/>
          <w14:ligatures w14:val="none"/>
        </w:rPr>
        <w:t>Obligatariusze są narażeni na ryzyko strat, jeśli wykup w gotówce nie powiedzie się z powodu braku zamówień zakupu lub niedostępności wymaganej ceny referencyjnej:</w:t>
      </w:r>
      <w:r w:rsidRPr="00C60F03">
        <w:rPr>
          <w:rFonts w:ascii="Times New Roman" w:eastAsia="MS Mincho" w:hAnsi="Times New Roman" w:cs="Times New Roman"/>
          <w:kern w:val="0"/>
          <w:sz w:val="20"/>
          <w:szCs w:val="20"/>
          <w:lang w:val="en-GB" w:bidi="ar-SA"/>
          <w14:ligatures w14:val="none"/>
        </w:rPr>
        <w:t xml:space="preserve"> W przypadku wykupu w gotówce Emitent musi zorganizować Procedurę Wykonawczą Kryptowaluty w celu wykupu Obligacji. Jeśli taka Procedura Wykonawcza Kryptowaluty zawiedzie z jakiegokolwiek powodu, w tym bez ograniczeń w wyniku zakłócenia dostępności ceny referencyjnej bazowej Kryptowaluty, Obligatariusze narażeni są na ryzyko, że Obligacje nie mogą być wykupione w gotówce od Emitenta i mogą być sprzedane tylko na rynku wtórnym.</w:t>
      </w:r>
    </w:p>
    <w:p w14:paraId="7358F246" w14:textId="77777777" w:rsidR="00C315AF" w:rsidRPr="00C60F03" w:rsidRDefault="008E2AC2" w:rsidP="00F2309E">
      <w:pPr>
        <w:tabs>
          <w:tab w:val="left" w:pos="720"/>
        </w:tabs>
        <w:spacing w:after="60" w:line="240" w:lineRule="auto"/>
        <w:jc w:val="both"/>
        <w:outlineLvl w:val="3"/>
        <w:rPr>
          <w:rFonts w:ascii="Times New Roman" w:eastAsia="Times New Roman" w:hAnsi="Times New Roman" w:cs="Times New Roman"/>
          <w:bCs/>
          <w:iCs/>
          <w:color w:val="000000"/>
          <w:kern w:val="0"/>
          <w:sz w:val="20"/>
          <w:szCs w:val="20"/>
          <w:lang w:val="en-GB" w:bidi="ar-SA"/>
          <w14:ligatures w14:val="none"/>
        </w:rPr>
      </w:pPr>
      <w:r w:rsidRPr="00C60F03">
        <w:rPr>
          <w:rFonts w:ascii="Times New Roman" w:eastAsia="Times New Roman" w:hAnsi="Times New Roman" w:cs="Times New Roman"/>
          <w:b/>
          <w:i/>
          <w:color w:val="000000"/>
          <w:kern w:val="0"/>
          <w:sz w:val="20"/>
          <w:szCs w:val="20"/>
          <w:lang w:val="en-GB" w:bidi="ar-SA"/>
          <w14:ligatures w14:val="none"/>
        </w:rPr>
        <w:t>Ryzyka związane z dobrowolnymi wykupami:</w:t>
      </w:r>
      <w:r w:rsidRPr="00C60F03">
        <w:rPr>
          <w:rFonts w:ascii="Times New Roman" w:eastAsia="Times New Roman" w:hAnsi="Times New Roman" w:cs="Times New Roman"/>
          <w:bCs/>
          <w:iCs/>
          <w:color w:val="000000"/>
          <w:kern w:val="0"/>
          <w:sz w:val="20"/>
          <w:szCs w:val="20"/>
          <w:lang w:val="en-GB" w:bidi="ar-SA"/>
          <w14:ligatures w14:val="none"/>
        </w:rPr>
        <w:t xml:space="preserve"> Inwestorzy w Obligacje mają prawo zażądać Dobrowolnego Wykupu i wykupić Obligacje od Emitenta w zamian za zapłatę z tytułu Prawa do Świadczenia w Kryptowalucie. Jednak inwestorzy mogą nie być w stanie skorzystać z tego prawa, jeśli nie dostarczą Emitentowi wystarczających informacji zgodnie z Warunkami. Ponadto, jeśli Obligatariusze wykonają swoje prawo do Dobrowolnego Wykupu i zażądają rozliczenia w gotówce, zobowiązania Emitenta do przekazania USD danemu Obligatariuszowi po złożeniu odpowiednich Obligacji Emitentowi stanowią niezabezpieczone zobowiązania Emitenta. Tylko zobowiązania rozliczeniowe związane z Dobrowolnym Wykupem z fizycznym rozliczeniem („</w:t>
      </w:r>
      <w:r w:rsidRPr="00C60F03">
        <w:rPr>
          <w:rFonts w:ascii="Times New Roman" w:eastAsia="Times New Roman" w:hAnsi="Times New Roman" w:cs="Times New Roman"/>
          <w:b/>
          <w:iCs/>
          <w:color w:val="000000"/>
          <w:kern w:val="0"/>
          <w:sz w:val="20"/>
          <w:szCs w:val="20"/>
          <w:lang w:val="en-GB" w:bidi="ar-SA"/>
          <w14:ligatures w14:val="none"/>
        </w:rPr>
        <w:t>Zabezpieczone Zobowiązania z tytułu Dobrowolnego Wykupu</w:t>
      </w:r>
      <w:r w:rsidRPr="00C60F03">
        <w:rPr>
          <w:rFonts w:ascii="Times New Roman" w:eastAsia="Times New Roman" w:hAnsi="Times New Roman" w:cs="Times New Roman"/>
          <w:bCs/>
          <w:iCs/>
          <w:color w:val="000000"/>
          <w:kern w:val="0"/>
          <w:sz w:val="20"/>
          <w:szCs w:val="20"/>
          <w:lang w:val="en-GB" w:bidi="ar-SA"/>
          <w14:ligatures w14:val="none"/>
        </w:rPr>
        <w:t xml:space="preserve">”) stanowią zabezpieczone zobowiązania Emitenta. Roszczenia Obligatariusza o płatności w gotówce z tytułu Dobrowolnego Wykupu z rozliczeniem w gotówce zostaną zaspokojone dopiero po dostarczeniu Obligacji do Emitenta przez danego Obligatariusza, a w okresie od dnia dostarczenia Obligacji do dnia rzeczywistej zapłaty w USD dany Obligatariusz nie będzie już właścicielem Obligacji ani nie będzie miał zabezpieczonego roszczenia wobec Emitenta. </w:t>
      </w:r>
    </w:p>
    <w:p w14:paraId="18DE275A" w14:textId="77777777" w:rsidR="00D02BF3" w:rsidRPr="00C60F03" w:rsidRDefault="008E2AC2" w:rsidP="00F2309E">
      <w:pPr>
        <w:tabs>
          <w:tab w:val="left" w:pos="720"/>
        </w:tabs>
        <w:spacing w:after="60" w:line="240" w:lineRule="auto"/>
        <w:jc w:val="both"/>
        <w:outlineLvl w:val="3"/>
        <w:rPr>
          <w:rFonts w:ascii="Times New Roman" w:eastAsia="Times New Roman" w:hAnsi="Times New Roman" w:cs="Times New Roman"/>
          <w:bCs/>
          <w:iCs/>
          <w:color w:val="000000"/>
          <w:kern w:val="0"/>
          <w:sz w:val="20"/>
          <w:szCs w:val="20"/>
          <w:lang w:val="en-GB" w:bidi="ar-SA"/>
          <w14:ligatures w14:val="none"/>
        </w:rPr>
      </w:pPr>
      <w:r w:rsidRPr="00C60F03">
        <w:rPr>
          <w:rFonts w:ascii="Times New Roman" w:eastAsia="Times New Roman" w:hAnsi="Times New Roman" w:cs="Times New Roman"/>
          <w:b/>
          <w:i/>
          <w:color w:val="000000"/>
          <w:kern w:val="0"/>
          <w:sz w:val="20"/>
          <w:szCs w:val="20"/>
          <w:lang w:val="en-GB" w:bidi="ar-SA"/>
          <w14:ligatures w14:val="none"/>
        </w:rPr>
        <w:t>Wykup przymusowy:</w:t>
      </w:r>
      <w:r w:rsidRPr="00C60F03">
        <w:rPr>
          <w:rFonts w:ascii="Times New Roman" w:eastAsia="Times New Roman" w:hAnsi="Times New Roman" w:cs="Times New Roman"/>
          <w:bCs/>
          <w:iCs/>
          <w:color w:val="000000"/>
          <w:kern w:val="0"/>
          <w:sz w:val="20"/>
          <w:szCs w:val="20"/>
          <w:lang w:val="en-GB" w:bidi="ar-SA"/>
          <w14:ligatures w14:val="none"/>
        </w:rPr>
        <w:t xml:space="preserve"> W przypadku wystąpienia pewnych zdarzeń określonych szczegółowo w Warunkach, Emitent może (ale nie musi) w dowolnym momencie, według własnego uznania, zdecydować o zakończeniu emisji i wykupie wszystkich ale nie części Obligacji po cenie ich przymusowego wykupu, która stanowi (i) kwotę równą Prawu do Świadczenia w Kryptowalucie, lub (ii) jeżeli Obligatariusz zdecyduje o wykupie w gotówce, wpływy ze sprzedaży Kryptowaluty zgodnie z Procedurą Wykonania Kryptowaluty dotyczącą Kryptowaluty w wysokości Prawa do Świadczenia w Kryptowalucie na odpowiedni dzień obowiązkowego wykupu, pomniejszone o wszelkie uzasadnione opłaty na rzecz osób trzecich związane z wykupem Obligacji („</w:t>
      </w:r>
      <w:r w:rsidRPr="00C60F03">
        <w:rPr>
          <w:rFonts w:ascii="Times New Roman" w:eastAsia="Times New Roman" w:hAnsi="Times New Roman" w:cs="Times New Roman"/>
          <w:b/>
          <w:iCs/>
          <w:color w:val="000000"/>
          <w:kern w:val="0"/>
          <w:sz w:val="20"/>
          <w:szCs w:val="20"/>
          <w:lang w:val="en-GB" w:bidi="ar-SA"/>
          <w14:ligatures w14:val="none"/>
        </w:rPr>
        <w:t>Cena Wykupu Przymusowego</w:t>
      </w:r>
      <w:r w:rsidRPr="00C60F03">
        <w:rPr>
          <w:rFonts w:ascii="Times New Roman" w:eastAsia="Times New Roman" w:hAnsi="Times New Roman" w:cs="Times New Roman"/>
          <w:bCs/>
          <w:iCs/>
          <w:color w:val="000000"/>
          <w:kern w:val="0"/>
          <w:sz w:val="20"/>
          <w:szCs w:val="20"/>
          <w:lang w:val="en-GB" w:bidi="ar-SA"/>
          <w14:ligatures w14:val="none"/>
        </w:rPr>
        <w:t xml:space="preserve">”). Przy podejmowaniu takiej decyzji Emitent nie jest zobowiązany do uwzględniania interesów Obligatariuszy, którzy mogą otrzymać kwotę mniejszą lub znacznie mniejszą niż ich pierwotna inwestycja. Cena Wykupu Przymusowego Obligacji podlegających wykupowi w USD może być niższa lub znacząco niższa od równowartości ceny Kryptowaluty, ponieważ Emitent będzie starał się sprzedać Kryptowalutę w ramach Procedury Wykonania Kryptowaluty, a w takich okolicznościach zaistnieją wszystkie opisane powyżej rodzaje ryzyka związane ze sprzedażą Kryptowaluty. Ponadto wykup przymusowy może skutkować faktycznym zbyciem Obligacji dla celów podatkowych przez niektórych lub wszystkich Obligatariuszy w terminie wcześniejszym niż planowano lub przewidywano, co może z kolei skutkować mniej korzystnym opodatkowaniem inwestycji w Obligacje niż byłoby to możliwe w przypadku utrzymania inwestycji przez dłuższy okres. </w:t>
      </w:r>
    </w:p>
    <w:p w14:paraId="6CEB84BC" w14:textId="4AAE396F" w:rsidR="008E2AC2" w:rsidRPr="00C60F03" w:rsidRDefault="008E2AC2" w:rsidP="00F2309E">
      <w:pPr>
        <w:tabs>
          <w:tab w:val="left" w:pos="720"/>
        </w:tabs>
        <w:spacing w:after="60" w:line="240" w:lineRule="auto"/>
        <w:jc w:val="both"/>
        <w:outlineLvl w:val="3"/>
        <w:rPr>
          <w:rFonts w:ascii="Times New Roman" w:eastAsia="Times New Roman" w:hAnsi="Times New Roman" w:cs="Times New Roman"/>
          <w:bCs/>
          <w:iCs/>
          <w:color w:val="000000"/>
          <w:kern w:val="0"/>
          <w:sz w:val="20"/>
          <w:szCs w:val="20"/>
          <w:lang w:val="en-GB" w:bidi="ar-SA"/>
          <w14:ligatures w14:val="none"/>
        </w:rPr>
      </w:pPr>
      <w:r w:rsidRPr="00C60F03">
        <w:rPr>
          <w:rFonts w:ascii="Times New Roman" w:eastAsia="Times New Roman" w:hAnsi="Times New Roman" w:cs="Times New Roman"/>
          <w:b/>
          <w:i/>
          <w:color w:val="000000"/>
          <w:kern w:val="0"/>
          <w:sz w:val="20"/>
          <w:szCs w:val="20"/>
          <w:lang w:val="en-GB" w:bidi="ar-SA"/>
          <w14:ligatures w14:val="none"/>
        </w:rPr>
        <w:t>Ryzyka związane z wydarzeniami dostosowującymi:</w:t>
      </w:r>
      <w:r w:rsidRPr="00C60F03">
        <w:rPr>
          <w:rFonts w:ascii="Times New Roman" w:eastAsia="Times New Roman" w:hAnsi="Times New Roman" w:cs="Times New Roman"/>
          <w:bCs/>
          <w:iCs/>
          <w:color w:val="000000"/>
          <w:kern w:val="0"/>
          <w:sz w:val="20"/>
          <w:szCs w:val="20"/>
          <w:lang w:val="en-GB" w:bidi="ar-SA"/>
          <w14:ligatures w14:val="none"/>
        </w:rPr>
        <w:t xml:space="preserve"> W przypadku wystąpienia pewnych wydarzeń związanych z bazową Kryptowalutą wpływających na bazową Kryptowalutę i/lub Prawo do Świadczenia w Kryptowalucie, powodujących konieczność dostosowania bazowej Kryptowaluty i/lub Prawa do Świadczenia w Kryptowalucie (każde z nich jako "</w:t>
      </w:r>
      <w:r w:rsidRPr="00C60F03">
        <w:rPr>
          <w:rFonts w:ascii="Times New Roman" w:eastAsia="Times New Roman" w:hAnsi="Times New Roman" w:cs="Times New Roman"/>
          <w:b/>
          <w:iCs/>
          <w:color w:val="000000"/>
          <w:kern w:val="0"/>
          <w:sz w:val="20"/>
          <w:szCs w:val="20"/>
          <w:lang w:val="en-GB" w:bidi="ar-SA"/>
          <w14:ligatures w14:val="none"/>
        </w:rPr>
        <w:t>Wydarzenie Dostosowujące</w:t>
      </w:r>
      <w:r w:rsidRPr="00C60F03">
        <w:rPr>
          <w:rFonts w:ascii="Times New Roman" w:eastAsia="Times New Roman" w:hAnsi="Times New Roman" w:cs="Times New Roman"/>
          <w:bCs/>
          <w:iCs/>
          <w:color w:val="000000"/>
          <w:kern w:val="0"/>
          <w:sz w:val="20"/>
          <w:szCs w:val="20"/>
          <w:lang w:val="en-GB" w:bidi="ar-SA"/>
          <w14:ligatures w14:val="none"/>
        </w:rPr>
        <w:t xml:space="preserve">"), Emitent dokona, jeśli uzna to za stosowne, dostosowania </w:t>
      </w:r>
      <w:r w:rsidRPr="00C60F03">
        <w:rPr>
          <w:rFonts w:ascii="Times New Roman" w:eastAsia="Times New Roman" w:hAnsi="Times New Roman" w:cs="Times New Roman"/>
          <w:bCs/>
          <w:iCs/>
          <w:color w:val="000000"/>
          <w:kern w:val="0"/>
          <w:sz w:val="20"/>
          <w:szCs w:val="20"/>
          <w:lang w:val="en-GB" w:bidi="ar-SA"/>
          <w14:ligatures w14:val="none"/>
        </w:rPr>
        <w:lastRenderedPageBreak/>
        <w:t>Kryptowaluty lub Prawa do Świadczenia w Kryptowalucie, zawiesi planowane ponowne zrównoważenie Indeksu lub zastąpi odpowiedni bazowy Indeks podobnym nowym Indeksem. W zależności od konkretnych działań podjętych przez Emitenta w odpowiedzi na Wydarzenie Dostosowujące, wartość Prawa do Świadczenia w Kryptowalucie i Obligacji może rozwijać się inaczej, a zwrot dla Obligatariuszy może być niższy (lub znacznie niższy) niż gdyby Wydarzenie Dostosowujące nie wystąpiło.</w:t>
      </w:r>
    </w:p>
    <w:p w14:paraId="22502346" w14:textId="77777777" w:rsidR="008E2AC2" w:rsidRPr="00C60F03" w:rsidRDefault="008E2AC2" w:rsidP="00F2309E">
      <w:pPr>
        <w:tabs>
          <w:tab w:val="left" w:pos="720"/>
        </w:tabs>
        <w:spacing w:after="60" w:line="240" w:lineRule="auto"/>
        <w:jc w:val="both"/>
        <w:outlineLvl w:val="3"/>
        <w:rPr>
          <w:rFonts w:ascii="Times New Roman" w:eastAsia="Times New Roman" w:hAnsi="Times New Roman" w:cs="Times New Roman"/>
          <w:bCs/>
          <w:iCs/>
          <w:vanish/>
          <w:color w:val="000000"/>
          <w:kern w:val="0"/>
          <w:sz w:val="20"/>
          <w:szCs w:val="20"/>
          <w:lang w:val="en-GB" w:bidi="ar-SA"/>
          <w14:ligatures w14:val="none"/>
        </w:rPr>
      </w:pPr>
      <w:r w:rsidRPr="00C60F03">
        <w:rPr>
          <w:rFonts w:ascii="Times New Roman" w:eastAsia="Times New Roman" w:hAnsi="Times New Roman" w:cs="Times New Roman"/>
          <w:bCs/>
          <w:iCs/>
          <w:vanish/>
          <w:color w:val="000000"/>
          <w:kern w:val="0"/>
          <w:sz w:val="20"/>
          <w:szCs w:val="20"/>
          <w:lang w:val="en-GB" w:bidi="ar-SA"/>
          <w14:ligatures w14:val="none"/>
        </w:rPr>
        <w:t>Top of Form</w:t>
      </w:r>
    </w:p>
    <w:p w14:paraId="23B889A8" w14:textId="62B4FAB6" w:rsidR="00AF19C9" w:rsidRPr="00C60F03" w:rsidRDefault="00B54104" w:rsidP="00F2309E">
      <w:pPr>
        <w:keepNext/>
        <w:spacing w:after="60" w:line="240" w:lineRule="auto"/>
        <w:jc w:val="both"/>
        <w:rPr>
          <w:rFonts w:ascii="Times New Roman" w:eastAsia="MS Mincho" w:hAnsi="Times New Roman" w:cs="Times New Roman"/>
          <w:b/>
          <w:kern w:val="0"/>
          <w:sz w:val="20"/>
          <w:szCs w:val="20"/>
          <w:lang w:val="en-US" w:bidi="ar-SA"/>
          <w14:ligatures w14:val="none"/>
        </w:rPr>
      </w:pPr>
      <w:r w:rsidRPr="00C60F03">
        <w:rPr>
          <w:rFonts w:ascii="Times New Roman" w:eastAsia="MS Mincho" w:hAnsi="Times New Roman" w:cs="Times New Roman"/>
          <w:b/>
          <w:kern w:val="0"/>
          <w:sz w:val="20"/>
          <w:szCs w:val="20"/>
          <w:lang w:val="en-US" w:bidi="ar-SA"/>
          <w14:ligatures w14:val="none"/>
        </w:rPr>
        <w:t>Ryzyka związane z Zabezpieczeniem Obligacji</w:t>
      </w:r>
    </w:p>
    <w:p w14:paraId="66CC324D" w14:textId="02AE213A" w:rsidR="00B62AB4" w:rsidRPr="00C60F03" w:rsidRDefault="00B62AB4" w:rsidP="00B62AB4">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Zabezpieczenie udzielone na zabezpieczenie Obligacji może okazać się niemożliwe do wykonania lub jego wykonanie może ulec opóźnieniu:</w:t>
      </w:r>
      <w:r w:rsidRPr="00C60F03">
        <w:rPr>
          <w:rFonts w:ascii="Times New Roman" w:eastAsia="MS Mincho" w:hAnsi="Times New Roman" w:cs="Times New Roman"/>
          <w:kern w:val="0"/>
          <w:sz w:val="20"/>
          <w:szCs w:val="20"/>
          <w:lang w:val="en-US" w:bidi="ar-SA"/>
          <w14:ligatures w14:val="none"/>
        </w:rPr>
        <w:t xml:space="preserve"> Emitent zobowiązał się (z pewnymi wyjątkami) do posiadania kwoty w Kryptowalucie równej lub wyższej od Kwoty Zabezpieczonych Zobowiązań, stale zdeponowanej u Depozytariusza, oraz do stworzenia zabezpieczenia w stosunku do praw i roszczeń wynikających w związku z Portfelem Depozytowym na rzecz Obligatariuszy. Te zabezpieczenia mogą być niewystarczające do ochrony Obligatariuszy w przypadku wynikającej z różnych powodów upadłości lub likwidacji Emitenta lub Depozytariusza.</w:t>
      </w:r>
    </w:p>
    <w:p w14:paraId="3F78711B" w14:textId="77777777" w:rsidR="00B62AB4" w:rsidRPr="00C60F03" w:rsidRDefault="00B62AB4" w:rsidP="00B62AB4">
      <w:pPr>
        <w:spacing w:after="60" w:line="240" w:lineRule="auto"/>
        <w:jc w:val="both"/>
        <w:rPr>
          <w:rFonts w:ascii="Times New Roman" w:eastAsia="MS Mincho" w:hAnsi="Times New Roman" w:cs="Times New Roman"/>
          <w:b/>
          <w:bCs/>
          <w:kern w:val="0"/>
          <w:sz w:val="20"/>
          <w:szCs w:val="20"/>
          <w:lang w:val="en-US" w:bidi="ar-SA"/>
          <w14:ligatures w14:val="none"/>
        </w:rPr>
      </w:pPr>
      <w:r w:rsidRPr="00C60F03">
        <w:rPr>
          <w:rFonts w:ascii="Times New Roman" w:eastAsia="MS Mincho" w:hAnsi="Times New Roman" w:cs="Times New Roman"/>
          <w:b/>
          <w:bCs/>
          <w:kern w:val="0"/>
          <w:sz w:val="20"/>
          <w:szCs w:val="20"/>
          <w:lang w:val="en-US" w:bidi="ar-SA"/>
          <w14:ligatures w14:val="none"/>
        </w:rPr>
        <w:t>Ryzyko związane z ETH jako Kryptowalutą bazową</w:t>
      </w:r>
    </w:p>
    <w:p w14:paraId="6448F125" w14:textId="23EB6FA8" w:rsidR="00B62AB4" w:rsidRPr="00C60F03" w:rsidRDefault="00B62AB4" w:rsidP="00F2309E">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Zmienność cen Kryptowaluty:</w:t>
      </w:r>
      <w:r w:rsidRPr="00C60F03">
        <w:rPr>
          <w:rFonts w:ascii="Times New Roman" w:eastAsia="MS Mincho" w:hAnsi="Times New Roman" w:cs="Times New Roman"/>
          <w:kern w:val="0"/>
          <w:sz w:val="20"/>
          <w:szCs w:val="20"/>
          <w:lang w:val="en-US" w:bidi="ar-SA"/>
          <w14:ligatures w14:val="none"/>
        </w:rPr>
        <w:t xml:space="preserve"> Na wartość Obligacji wpływa cena Kryptowaluty bazowej. Cena Kryptowaluty podlega znacznym wahaniom, na przykład pod wpływem globalnych i regionalnych wydarzeń politycznych, gospodarczych lub finansowych, zdarzeń o charakterze regulacyjnym lub oświadczeń organów regulacyjnych, obrotu inwestycyjnego, hedgingu, czy szerokiego zakresu innych działań uczestników rynku, forków w protokołach bazowych, zakłóceń infrastruktury lub sposobów produkcji, dystrybucji, przechowywania i sprzedaży kryptoaktywów. Cena Kryptowaluty może również ulec zmianie z powodu zmiany przekonania inwestorów co do przyszłych perspektyw dla danej klasy aktywów. Cechy charakterystyczne Kryptowaluty i rozbieżność obowiązujących standardów regulacyjnych stwarzają możliwość nadużyć na rynku i mogą prowadzić do dużych wahań cenowych. Kwoty otrzymywane przez Obligatariuszy (i) po wykupie Obligacji w USD, w przypadkach gdy Obligatariusze są uniemożliwieni w otrzymaniu Kryptowaluty z powodów prawnych lub regulacyjnych; lub (ii) przy sprzedaży na giełdzie, zależą od wyników cenowych Kryptowaluty i dostępnej płynności.</w:t>
      </w:r>
    </w:p>
    <w:p w14:paraId="538C7673" w14:textId="77777777" w:rsidR="00E25312" w:rsidRPr="00C60F03" w:rsidRDefault="0063775F" w:rsidP="00F2309E">
      <w:pPr>
        <w:spacing w:after="60" w:line="240" w:lineRule="auto"/>
        <w:jc w:val="both"/>
        <w:rPr>
          <w:rFonts w:ascii="Times New Roman" w:eastAsia="MS Mincho" w:hAnsi="Times New Roman" w:cs="Times New Roman"/>
          <w:b/>
          <w:bCs/>
          <w:kern w:val="0"/>
          <w:sz w:val="20"/>
          <w:szCs w:val="20"/>
          <w:lang w:val="en-US" w:bidi="ar-SA"/>
          <w14:ligatures w14:val="none"/>
        </w:rPr>
      </w:pPr>
      <w:r w:rsidRPr="00C60F03">
        <w:rPr>
          <w:rFonts w:ascii="Times New Roman" w:eastAsia="MS Mincho" w:hAnsi="Times New Roman" w:cs="Times New Roman"/>
          <w:b/>
          <w:bCs/>
          <w:kern w:val="0"/>
          <w:sz w:val="20"/>
          <w:szCs w:val="20"/>
          <w:lang w:val="en-US" w:bidi="ar-SA"/>
          <w14:ligatures w14:val="none"/>
        </w:rPr>
        <w:t>Ryzyko związane z dopuszczeniem papierów wartościowych do obrotu</w:t>
      </w:r>
    </w:p>
    <w:p w14:paraId="1C1CBDE6" w14:textId="62B84DC5" w:rsidR="0063775F" w:rsidRPr="00C60F03" w:rsidRDefault="0063775F" w:rsidP="00F2309E">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Ryzyko związane z dopuszczeniem do obrotu:</w:t>
      </w:r>
      <w:r w:rsidRPr="00C60F03">
        <w:rPr>
          <w:rFonts w:ascii="Times New Roman" w:eastAsia="MS Mincho" w:hAnsi="Times New Roman" w:cs="Times New Roman"/>
          <w:kern w:val="0"/>
          <w:sz w:val="20"/>
          <w:szCs w:val="20"/>
          <w:lang w:val="en-US" w:bidi="ar-SA"/>
          <w14:ligatures w14:val="none"/>
        </w:rPr>
        <w:t xml:space="preserve"> Cena transakcyjna Obligacji może ulec obniżeniu w przypadku obniżenia zdolności kredytowej Emitenta lub podmiotów z nim powiązanych lub postrzegania jej za obniżoną niezależnie od tego, czy Obligacje są zabezpieczone faktycznie posiadaną Kryptowalutą. Istnieje ryzyko, że osoby trzecie byłyby skłonne nabyć Obligacje jedynie ze znacznym dyskontem w stosunku do ceny Kryptowaluty, co z kolei może spowodować spadek wartości inwestycji Obligatariusza w Obligacje.</w:t>
      </w:r>
    </w:p>
    <w:p w14:paraId="4EC8C66A" w14:textId="77777777" w:rsidR="00005323" w:rsidRPr="00C60F03" w:rsidRDefault="0063775F" w:rsidP="00F2309E">
      <w:pPr>
        <w:spacing w:after="60" w:line="240" w:lineRule="auto"/>
        <w:jc w:val="both"/>
        <w:rPr>
          <w:rFonts w:ascii="Times New Roman" w:eastAsia="MS Mincho" w:hAnsi="Times New Roman" w:cs="Times New Roman"/>
          <w:b/>
          <w:bCs/>
          <w:kern w:val="0"/>
          <w:sz w:val="20"/>
          <w:szCs w:val="20"/>
          <w:lang w:val="en-US" w:bidi="ar-SA"/>
          <w14:ligatures w14:val="none"/>
        </w:rPr>
      </w:pPr>
      <w:r w:rsidRPr="00C60F03">
        <w:rPr>
          <w:rFonts w:ascii="Times New Roman" w:eastAsia="MS Mincho" w:hAnsi="Times New Roman" w:cs="Times New Roman"/>
          <w:b/>
          <w:bCs/>
          <w:kern w:val="0"/>
          <w:sz w:val="20"/>
          <w:szCs w:val="20"/>
          <w:lang w:val="en-US" w:bidi="ar-SA"/>
          <w14:ligatures w14:val="none"/>
        </w:rPr>
        <w:t>Ryzyko podatkowe związane z Obligacjami</w:t>
      </w:r>
    </w:p>
    <w:p w14:paraId="3F8C357B" w14:textId="50A6F7D6" w:rsidR="0063775F" w:rsidRPr="00C60F03" w:rsidRDefault="0063775F" w:rsidP="00F2309E">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Podatek od transakcji finansowych:</w:t>
      </w:r>
      <w:r w:rsidRPr="00C60F03">
        <w:rPr>
          <w:rFonts w:ascii="Times New Roman" w:eastAsia="MS Mincho" w:hAnsi="Times New Roman" w:cs="Times New Roman"/>
          <w:kern w:val="0"/>
          <w:sz w:val="20"/>
          <w:szCs w:val="20"/>
          <w:lang w:val="en-US" w:bidi="ar-SA"/>
          <w14:ligatures w14:val="none"/>
        </w:rPr>
        <w:t xml:space="preserve"> W 2013 r. Komisja Europejska opublikowała wniosek („</w:t>
      </w:r>
      <w:r w:rsidRPr="00C60F03">
        <w:rPr>
          <w:rFonts w:ascii="Times New Roman" w:eastAsia="MS Mincho" w:hAnsi="Times New Roman" w:cs="Times New Roman"/>
          <w:b/>
          <w:bCs/>
          <w:kern w:val="0"/>
          <w:sz w:val="20"/>
          <w:szCs w:val="20"/>
          <w:lang w:val="en-US" w:bidi="ar-SA"/>
          <w14:ligatures w14:val="none"/>
        </w:rPr>
        <w:t>Wniosek Komisji</w:t>
      </w:r>
      <w:r w:rsidRPr="00C60F03">
        <w:rPr>
          <w:rFonts w:ascii="Times New Roman" w:eastAsia="MS Mincho" w:hAnsi="Times New Roman" w:cs="Times New Roman"/>
          <w:kern w:val="0"/>
          <w:sz w:val="20"/>
          <w:szCs w:val="20"/>
          <w:lang w:val="en-US" w:bidi="ar-SA"/>
          <w14:ligatures w14:val="none"/>
        </w:rPr>
        <w:t>”) dotyczący dyrektywy w sprawie wspólnego podatku od transakcji finansowych („</w:t>
      </w:r>
      <w:r w:rsidRPr="00C60F03">
        <w:rPr>
          <w:rFonts w:ascii="Times New Roman" w:eastAsia="MS Mincho" w:hAnsi="Times New Roman" w:cs="Times New Roman"/>
          <w:b/>
          <w:bCs/>
          <w:kern w:val="0"/>
          <w:sz w:val="20"/>
          <w:szCs w:val="20"/>
          <w:lang w:val="en-US" w:bidi="ar-SA"/>
          <w14:ligatures w14:val="none"/>
        </w:rPr>
        <w:t>PTF</w:t>
      </w:r>
      <w:r w:rsidRPr="00C60F03">
        <w:rPr>
          <w:rFonts w:ascii="Times New Roman" w:eastAsia="MS Mincho" w:hAnsi="Times New Roman" w:cs="Times New Roman"/>
          <w:kern w:val="0"/>
          <w:sz w:val="20"/>
          <w:szCs w:val="20"/>
          <w:lang w:val="en-US" w:bidi="ar-SA"/>
          <w14:ligatures w14:val="none"/>
        </w:rPr>
        <w:t>”). Zgodnie z propozycją Komisji, PTF ma być wprowadzony w niektórych państwach członkowskich UE, w tym w Niemczech. Szczególne ryzyko polega na tym, że PTF może spowodować negatywne skutki podatkowe dla Obligacji, co z kolei może mieć ujemny wpływ na zwrot z inwestycji Obligatariusza w te Obligacje.</w:t>
      </w:r>
    </w:p>
    <w:p w14:paraId="326848E1" w14:textId="337D67B7" w:rsidR="00AF19C9" w:rsidRPr="00C60F03" w:rsidRDefault="00970A0A" w:rsidP="00970A0A">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en-US" w:bidi="ar-SA"/>
          <w14:ligatures w14:val="none"/>
        </w:rPr>
      </w:pPr>
      <w:r w:rsidRPr="00C60F03">
        <w:rPr>
          <w:rFonts w:ascii="Times New Roman" w:eastAsia="Times New Roman" w:hAnsi="Times New Roman" w:cs="Times New Roman"/>
          <w:b/>
          <w:bCs/>
          <w:caps/>
          <w:color w:val="000000"/>
          <w:kern w:val="0"/>
          <w:sz w:val="20"/>
          <w:szCs w:val="20"/>
          <w:lang w:val="en-GB" w:bidi="ar-SA"/>
          <w14:ligatures w14:val="none"/>
        </w:rPr>
        <w:t>PODSTAWOWE INFORMACJE O PUBLICZNEJ OFERCIE PAPIERÓW WARTOŚCIOWYCH I DOPUSZCZENIU DO OBROTU NA RYNKU REGULOWANYM</w:t>
      </w:r>
    </w:p>
    <w:p w14:paraId="65C0A68B" w14:textId="575835D4" w:rsidR="00AF19C9" w:rsidRPr="00C60F03" w:rsidRDefault="00970A0A" w:rsidP="00970A0A">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C60F03">
        <w:rPr>
          <w:rFonts w:ascii="Times New Roman" w:eastAsia="Times New Roman" w:hAnsi="Times New Roman" w:cs="Times New Roman"/>
          <w:b/>
          <w:bCs/>
          <w:color w:val="000000"/>
          <w:kern w:val="0"/>
          <w:sz w:val="20"/>
          <w:szCs w:val="20"/>
          <w:lang w:val="en-US" w:bidi="ar-SA"/>
          <w14:ligatures w14:val="none"/>
        </w:rPr>
        <w:t>Na jakich warunkach i zgodnie z jakim harmonogramem mogę zainwestować w ten papier wartościowy?</w:t>
      </w:r>
    </w:p>
    <w:p w14:paraId="2AC2154A" w14:textId="7DA0B4C4" w:rsidR="00AF19C9" w:rsidRPr="00C60F03" w:rsidRDefault="00970A0A" w:rsidP="00566B92">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Warunki i harmonogram inwestowania w Obligacje zostały przedstawione poniżej.</w:t>
      </w:r>
    </w:p>
    <w:p w14:paraId="490A0F88" w14:textId="77777777" w:rsidR="00F847AA" w:rsidRPr="00C60F03" w:rsidRDefault="00F847AA" w:rsidP="00566B92">
      <w:pPr>
        <w:keepNext/>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 xml:space="preserve">Niniejsza emisja Obligacji jest emitowana w łącznej kwocie do 3 200 000 000 Obligacji zabezpieczonych przez ETH. </w:t>
      </w:r>
    </w:p>
    <w:p w14:paraId="17E3478A" w14:textId="54934335" w:rsidR="00F847AA" w:rsidRPr="00C60F03" w:rsidRDefault="00F847AA" w:rsidP="00566B92">
      <w:pPr>
        <w:keepNext/>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Nabycie obligacji:</w:t>
      </w:r>
      <w:r w:rsidRPr="00C60F03">
        <w:rPr>
          <w:rFonts w:ascii="Times New Roman" w:eastAsia="MS Mincho" w:hAnsi="Times New Roman" w:cs="Times New Roman"/>
          <w:kern w:val="0"/>
          <w:sz w:val="20"/>
          <w:szCs w:val="20"/>
          <w:lang w:val="en-US" w:bidi="ar-SA"/>
          <w14:ligatures w14:val="none"/>
        </w:rPr>
        <w:t xml:space="preserve"> Na rynku pierwotnym Emitent będzie prowadził sprzedaż Obligacji wyłącznie na rzecz Upoważnionych Uczestników, przy czym Obligacje te mogą być nabywane wyłącznie za Kryptowalutę. Inwestorzy niebędący Upoważnionymi Uczestnikami mogą nabywać Obligacje na rynku wtórnym (i) od Upoważnionego Uczestnika, z zachowaniem obowiązujących ograniczeń w sprzedaży, (ii) za pośrednictwem giełdy papierów wartościowych poprzez swojego maklera lub (iii) od dowolnej osoby poza rynkiem regulowanym. W związku z tym Flow </w:t>
      </w:r>
      <w:r w:rsidRPr="008C3DE6">
        <w:rPr>
          <w:rFonts w:ascii="Times New Roman" w:eastAsia="MS Mincho" w:hAnsi="Times New Roman" w:cs="Times New Roman"/>
          <w:kern w:val="0"/>
          <w:sz w:val="20"/>
          <w:szCs w:val="20"/>
          <w:lang w:val="en-US" w:bidi="ar-SA"/>
          <w14:ligatures w14:val="none"/>
        </w:rPr>
        <w:t>Traders B.V., Jane Street Financial Limited i Goldenberg Hehmeyer LLP zostały wyznaczone na Upoważnionych Uczestników</w:t>
      </w:r>
      <w:r w:rsidRPr="00C60F03">
        <w:rPr>
          <w:rFonts w:ascii="Times New Roman" w:eastAsia="MS Mincho" w:hAnsi="Times New Roman" w:cs="Times New Roman"/>
          <w:kern w:val="0"/>
          <w:sz w:val="20"/>
          <w:szCs w:val="20"/>
          <w:lang w:val="en-US" w:bidi="ar-SA"/>
          <w14:ligatures w14:val="none"/>
        </w:rPr>
        <w:t xml:space="preserve">. Oczekuje się, że okres składania ofert rozpocznie się w dniu </w:t>
      </w:r>
      <w:r w:rsidR="00651156" w:rsidRPr="00C60F03">
        <w:rPr>
          <w:rFonts w:ascii="Times New Roman" w:eastAsia="MS Mincho" w:hAnsi="Times New Roman" w:cs="Times New Roman"/>
          <w:kern w:val="0"/>
          <w:sz w:val="20"/>
          <w:szCs w:val="20"/>
          <w:lang w:val="en-US" w:bidi="ar-SA"/>
          <w14:ligatures w14:val="none"/>
        </w:rPr>
        <w:t>24</w:t>
      </w:r>
      <w:r w:rsidRPr="00C60F03">
        <w:rPr>
          <w:rFonts w:ascii="Times New Roman" w:eastAsia="MS Mincho" w:hAnsi="Times New Roman" w:cs="Times New Roman"/>
          <w:kern w:val="0"/>
          <w:sz w:val="20"/>
          <w:szCs w:val="20"/>
          <w:lang w:val="en-US" w:bidi="ar-SA"/>
          <w14:ligatures w14:val="none"/>
        </w:rPr>
        <w:t xml:space="preserve"> stycznia 2024 r. i będzie otwarty do późniejszej z następujących dat: (i) daty wygaśnięcia Prospektu podstawowego lub (ii) daty wygaśnięcia ważności nowego prospektu bazowego bezpośrednio następującego po obecnym Prospekcie bazowym, z zastrzeżeniem skrócenia tego okresu. Publiczna oferta może być przeprowadzana w państwach określonych w punkcie „</w:t>
      </w:r>
      <w:r w:rsidRPr="00C60F03">
        <w:rPr>
          <w:rFonts w:ascii="Times New Roman" w:eastAsia="MS Mincho" w:hAnsi="Times New Roman" w:cs="Times New Roman"/>
          <w:i/>
          <w:iCs/>
          <w:kern w:val="0"/>
          <w:sz w:val="20"/>
          <w:szCs w:val="20"/>
          <w:lang w:val="en-US" w:bidi="ar-SA"/>
          <w14:ligatures w14:val="none"/>
        </w:rPr>
        <w:t>1.1 Wstęp i ostrzeżenia</w:t>
      </w:r>
      <w:r w:rsidRPr="00C60F03">
        <w:rPr>
          <w:rFonts w:ascii="Times New Roman" w:eastAsia="MS Mincho" w:hAnsi="Times New Roman" w:cs="Times New Roman"/>
          <w:kern w:val="0"/>
          <w:sz w:val="20"/>
          <w:szCs w:val="20"/>
          <w:lang w:val="en-US" w:bidi="ar-SA"/>
          <w14:ligatures w14:val="none"/>
        </w:rPr>
        <w:t xml:space="preserve">” z zastrzeżeniem obowiązujących ograniczeń dotyczących sprzedaży. </w:t>
      </w:r>
      <w:r w:rsidRPr="008C3DE6">
        <w:rPr>
          <w:rFonts w:ascii="Times New Roman" w:eastAsia="MS Mincho" w:hAnsi="Times New Roman" w:cs="Times New Roman"/>
          <w:kern w:val="0"/>
          <w:sz w:val="20"/>
          <w:szCs w:val="20"/>
          <w:lang w:val="en-US" w:bidi="ar-SA"/>
          <w14:ligatures w14:val="none"/>
        </w:rPr>
        <w:t xml:space="preserve">DRW Europe B.V. została również wyznaczona jako Uprawniony Uczestnik na podstawie </w:t>
      </w:r>
      <w:r w:rsidRPr="008C3DE6">
        <w:rPr>
          <w:rFonts w:ascii="Times New Roman" w:eastAsia="MS Mincho" w:hAnsi="Times New Roman" w:cs="Times New Roman"/>
          <w:kern w:val="0"/>
          <w:sz w:val="20"/>
          <w:szCs w:val="20"/>
          <w:lang w:val="en-US" w:bidi="ar-SA"/>
          <w14:ligatures w14:val="none"/>
        </w:rPr>
        <w:lastRenderedPageBreak/>
        <w:t>Prospektu Podstawowego, ale nie będzie oferowała Obligacji inwestorom. DRW będzie subskrybować i wykupywać Obligacje wyłącznie na własne potrzeby.</w:t>
      </w:r>
    </w:p>
    <w:p w14:paraId="053C27BE" w14:textId="77777777" w:rsidR="00F847AA" w:rsidRPr="00C60F03" w:rsidRDefault="00F847AA" w:rsidP="00F847AA">
      <w:pPr>
        <w:keepNext/>
        <w:spacing w:after="18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 xml:space="preserve">Warunki i szczegóły techniczne Oferty: </w:t>
      </w:r>
      <w:r w:rsidRPr="00C60F03">
        <w:rPr>
          <w:rFonts w:ascii="Times New Roman" w:eastAsia="MS Mincho" w:hAnsi="Times New Roman" w:cs="Times New Roman"/>
          <w:kern w:val="0"/>
          <w:sz w:val="20"/>
          <w:szCs w:val="20"/>
          <w:lang w:val="en-US" w:bidi="ar-SA"/>
          <w14:ligatures w14:val="none"/>
        </w:rPr>
        <w:t>Oferta nie podlega żadnym warunkom ani terminom innym niż termin wynikający z ważności Prospektu podstawowego określony w punkcie „</w:t>
      </w:r>
      <w:r w:rsidRPr="00C60F03">
        <w:rPr>
          <w:rFonts w:ascii="Times New Roman" w:eastAsia="MS Mincho" w:hAnsi="Times New Roman" w:cs="Times New Roman"/>
          <w:i/>
          <w:iCs/>
          <w:kern w:val="0"/>
          <w:sz w:val="20"/>
          <w:szCs w:val="20"/>
          <w:lang w:val="en-US" w:bidi="ar-SA"/>
          <w14:ligatures w14:val="none"/>
        </w:rPr>
        <w:t>Nabycie Obligacji</w:t>
      </w:r>
      <w:r w:rsidRPr="00C60F03">
        <w:rPr>
          <w:rFonts w:ascii="Times New Roman" w:eastAsia="MS Mincho" w:hAnsi="Times New Roman" w:cs="Times New Roman"/>
          <w:kern w:val="0"/>
          <w:sz w:val="20"/>
          <w:szCs w:val="20"/>
          <w:lang w:val="en-US" w:bidi="ar-SA"/>
          <w14:ligatures w14:val="none"/>
        </w:rPr>
        <w:t>”. Nie ma możliwości redukcji zapisów. Nie określono minimalnych ani maksymalnych kwot zapisów, jednakże pośrednicy finansowi (w tym Upoważnieni Uczestnicy) oferujący Obligacje mogą określić minimalne lub maksymalne kwoty zapisów przy oferowaniu Obligacji według swojego wyłącznego uznania.</w:t>
      </w:r>
    </w:p>
    <w:p w14:paraId="6FCD56BF" w14:textId="77777777" w:rsidR="00F847AA" w:rsidRPr="00C60F03" w:rsidRDefault="00F847AA" w:rsidP="00F847AA">
      <w:pPr>
        <w:keepNext/>
        <w:spacing w:after="18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Obligacje mogą być nabywane na rynku pierwotnym w zamian za Kryptowalutę, euro, USD lub inną walutę fiducjarną lub kryptowalutę, która zostanie określona przez każdego z pośredników finansowych oferujących Obligacje. Obligacje nabywane bezpośrednio od Emitenta na rynku pierwotnym mogą być nabywane wyłącznie za Kryptowalutę i tylko przez Upoważnionych Uczestników. Wydanie Obligacji nastąpi w drodze zapisu księgowego za pośrednictwem systemu rozliczeniowego i banków prowadzących jego rachunki.</w:t>
      </w:r>
    </w:p>
    <w:p w14:paraId="31679D78" w14:textId="77777777" w:rsidR="00F847AA" w:rsidRPr="00C60F03" w:rsidRDefault="00F847AA" w:rsidP="00F847AA">
      <w:pPr>
        <w:keepNext/>
        <w:spacing w:after="18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b/>
          <w:bCs/>
          <w:i/>
          <w:iCs/>
          <w:kern w:val="0"/>
          <w:sz w:val="20"/>
          <w:szCs w:val="20"/>
          <w:lang w:val="en-US" w:bidi="ar-SA"/>
          <w14:ligatures w14:val="none"/>
        </w:rPr>
        <w:t>Sposób ustalania Ceny Emisyjnej:</w:t>
      </w:r>
      <w:r w:rsidRPr="00C60F03">
        <w:rPr>
          <w:rFonts w:ascii="Times New Roman" w:eastAsia="MS Mincho" w:hAnsi="Times New Roman" w:cs="Times New Roman"/>
          <w:kern w:val="0"/>
          <w:sz w:val="20"/>
          <w:szCs w:val="20"/>
          <w:lang w:val="en-US" w:bidi="ar-SA"/>
          <w14:ligatures w14:val="none"/>
        </w:rPr>
        <w:t xml:space="preserve"> Cena emisyjna dla Upoważnionych Uczestników jest równa sumie poszczególnych „Pojedynczych Praw do Świadczenia w Kryptowalucie” w odniesieniu do każdej konkretnej Kryptowaluty tworzącej koszyk na Obligację powiększonej o opłatę za zapis. Pojedyncze Prawo do Świadczenia w Kryptowalucie będzie, jeżeli dany dzień („t” dni po dacie emisji) </w:t>
      </w:r>
      <w:r w:rsidRPr="00C60F03">
        <w:rPr>
          <w:rFonts w:ascii="Times New Roman" w:eastAsia="MS Mincho" w:hAnsi="Times New Roman" w:cs="Times New Roman"/>
          <w:kern w:val="0"/>
          <w:sz w:val="20"/>
          <w:szCs w:val="20"/>
          <w:u w:val="single"/>
          <w:lang w:val="en-US" w:bidi="ar-SA"/>
          <w14:ligatures w14:val="none"/>
        </w:rPr>
        <w:t>nie</w:t>
      </w:r>
      <w:r w:rsidRPr="00C60F03">
        <w:rPr>
          <w:rFonts w:ascii="Times New Roman" w:eastAsia="MS Mincho" w:hAnsi="Times New Roman" w:cs="Times New Roman"/>
          <w:kern w:val="0"/>
          <w:sz w:val="20"/>
          <w:szCs w:val="20"/>
          <w:lang w:val="en-US" w:bidi="ar-SA"/>
          <w14:ligatures w14:val="none"/>
        </w:rPr>
        <w:t xml:space="preserve"> jest dniem Zrównoważenia lub dniem bezpośrednio następującym po dniu Zrównoważenia, ustalane zgodnie z poniższym wzorem:</w:t>
      </w:r>
    </w:p>
    <w:p w14:paraId="69C821C1" w14:textId="77777777" w:rsidR="00F847AA" w:rsidRPr="00C60F03" w:rsidRDefault="00F847AA" w:rsidP="00AF19C9">
      <w:pPr>
        <w:keepNext/>
        <w:spacing w:after="180" w:line="240" w:lineRule="auto"/>
        <w:jc w:val="both"/>
        <w:rPr>
          <w:rFonts w:ascii="Times New Roman" w:eastAsia="MS Mincho" w:hAnsi="Times New Roman" w:cs="Times New Roman"/>
          <w:kern w:val="0"/>
          <w:sz w:val="20"/>
          <w:szCs w:val="20"/>
          <w:lang w:val="en-US" w:bidi="ar-SA"/>
          <w14:ligatures w14:val="none"/>
        </w:rPr>
      </w:pPr>
    </w:p>
    <w:p w14:paraId="3BC9874C" w14:textId="308623AB" w:rsidR="00AF19C9" w:rsidRPr="00C60F03" w:rsidRDefault="00000000" w:rsidP="00AF19C9">
      <w:pPr>
        <w:ind w:left="1418"/>
        <w:jc w:val="center"/>
        <w:rPr>
          <w:rFonts w:ascii="Calibri" w:eastAsia="Calibri" w:hAnsi="Calibri" w:cs="Calibri"/>
          <w:kern w:val="0"/>
          <w:lang w:bidi="ar-SA"/>
          <w14:ligatures w14:val="none"/>
        </w:rPr>
      </w:pPr>
      <m:oMathPara>
        <m:oMath>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SCE</m:t>
              </m:r>
            </m:e>
            <m:sub>
              <m:r>
                <w:rPr>
                  <w:rFonts w:ascii="Cambria Math" w:eastAsia="Calibri" w:hAnsi="Cambria Math" w:cs="Arial"/>
                  <w:kern w:val="0"/>
                  <w:lang w:bidi="ar-SA"/>
                  <w14:ligatures w14:val="none"/>
                </w:rPr>
                <m:t>(t)</m:t>
              </m:r>
            </m:sub>
          </m:sSub>
          <m:r>
            <w:rPr>
              <w:rFonts w:ascii="Cambria Math" w:eastAsia="Calibri" w:hAnsi="Cambria Math" w:cs="Arial"/>
              <w:kern w:val="0"/>
              <w:lang w:bidi="ar-SA"/>
              <w14:ligatures w14:val="none"/>
            </w:rPr>
            <m:t>=</m:t>
          </m:r>
          <m:sSubSup>
            <m:sSubSupPr>
              <m:ctrlPr>
                <w:rPr>
                  <w:rFonts w:ascii="Cambria Math" w:eastAsia="MS PGothic" w:hAnsi="Cambria Math" w:cs="Calibri"/>
                  <w:i/>
                  <w:iCs/>
                  <w:kern w:val="0"/>
                  <w:lang w:val="en-US" w:bidi="ar-SA"/>
                  <w14:ligatures w14:val="none"/>
                </w:rPr>
              </m:ctrlPr>
            </m:sSubSupPr>
            <m:e>
              <m:r>
                <w:rPr>
                  <w:rFonts w:ascii="Cambria Math" w:eastAsia="Calibri" w:hAnsi="Cambria Math" w:cs="Arial"/>
                  <w:kern w:val="0"/>
                  <w:lang w:bidi="ar-SA"/>
                  <w14:ligatures w14:val="none"/>
                </w:rPr>
                <m:t>SCE</m:t>
              </m:r>
            </m:e>
            <m:sub>
              <m:d>
                <m:dPr>
                  <m:ctrlPr>
                    <w:rPr>
                      <w:rFonts w:ascii="Cambria Math" w:eastAsia="MS PGothic" w:hAnsi="Cambria Math" w:cs="Calibri"/>
                      <w:i/>
                      <w:iCs/>
                      <w:kern w:val="0"/>
                      <w:lang w:val="en-US" w:bidi="ar-SA"/>
                      <w14:ligatures w14:val="none"/>
                    </w:rPr>
                  </m:ctrlPr>
                </m:dPr>
                <m:e>
                  <m:r>
                    <w:rPr>
                      <w:rFonts w:ascii="Cambria Math" w:eastAsia="Calibri" w:hAnsi="Cambria Math" w:cs="Arial"/>
                      <w:kern w:val="0"/>
                      <w:lang w:bidi="ar-SA"/>
                      <w14:ligatures w14:val="none"/>
                    </w:rPr>
                    <m:t>t-1</m:t>
                  </m:r>
                </m:e>
              </m:d>
            </m:sub>
            <m:sup>
              <m:r>
                <w:rPr>
                  <w:rFonts w:ascii="Cambria Math" w:eastAsia="Calibri" w:hAnsi="Cambria Math" w:cs="Arial"/>
                  <w:kern w:val="0"/>
                  <w:lang w:bidi="ar-SA"/>
                  <w14:ligatures w14:val="none"/>
                </w:rPr>
                <m:t>i</m:t>
              </m:r>
            </m:sup>
          </m:sSubSup>
          <m:r>
            <w:rPr>
              <w:rFonts w:ascii="Cambria Math" w:eastAsia="Calibri" w:hAnsi="Cambria Math" w:cs="Arial"/>
              <w:kern w:val="0"/>
              <w:lang w:bidi="ar-SA"/>
              <w14:ligatures w14:val="none"/>
            </w:rPr>
            <m:t>*</m:t>
          </m:r>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 xml:space="preserve">1- </m:t>
              </m:r>
              <m:f>
                <m:fPr>
                  <m:ctrlPr>
                    <w:rPr>
                      <w:rFonts w:ascii="Cambria Math" w:eastAsia="MS PGothic" w:hAnsi="Cambria Math" w:cs="Calibri"/>
                      <w:kern w:val="0"/>
                      <w:lang w:val="en-US" w:bidi="ar-SA"/>
                      <w14:ligatures w14:val="none"/>
                    </w:rPr>
                  </m:ctrlPr>
                </m:fPr>
                <m:num>
                  <m:r>
                    <w:rPr>
                      <w:rFonts w:ascii="Cambria Math" w:eastAsia="Calibri" w:hAnsi="Cambria Math" w:cs="Arial"/>
                      <w:kern w:val="0"/>
                      <w:lang w:bidi="ar-SA"/>
                      <w14:ligatures w14:val="none"/>
                    </w:rPr>
                    <m:t>DER</m:t>
                  </m:r>
                </m:num>
                <m:den>
                  <m:r>
                    <w:rPr>
                      <w:rFonts w:ascii="Cambria Math" w:eastAsia="Calibri" w:hAnsi="Cambria Math" w:cs="Arial"/>
                      <w:kern w:val="0"/>
                      <w:lang w:bidi="ar-SA"/>
                      <w14:ligatures w14:val="none"/>
                    </w:rPr>
                    <m:t>365</m:t>
                  </m:r>
                </m:den>
              </m:f>
            </m:e>
          </m:d>
          <m:r>
            <w:rPr>
              <w:rFonts w:ascii="Cambria Math" w:eastAsia="Calibri" w:hAnsi="Cambria Math" w:cs="Arial"/>
              <w:kern w:val="0"/>
              <w:lang w:bidi="ar-SA"/>
              <w14:ligatures w14:val="none"/>
            </w:rPr>
            <m:t>+</m:t>
          </m:r>
          <m:f>
            <m:fPr>
              <m:ctrlPr>
                <w:rPr>
                  <w:rFonts w:ascii="Cambria Math" w:eastAsia="MS PGothic" w:hAnsi="Cambria Math" w:cs="Calibri"/>
                  <w:kern w:val="0"/>
                  <w:lang w:val="en-US" w:bidi="ar-SA"/>
                  <w14:ligatures w14:val="none"/>
                </w:rPr>
              </m:ctrlPr>
            </m:fPr>
            <m:num>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SSR</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t-2</m:t>
                      </m:r>
                    </m:e>
                  </m:d>
                </m:sub>
              </m:sSub>
            </m:num>
            <m:den>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N</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t-1</m:t>
                      </m:r>
                    </m:e>
                  </m:d>
                </m:sub>
              </m:sSub>
            </m:den>
          </m:f>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1-</m:t>
              </m:r>
              <m:sSubSup>
                <m:sSubSupPr>
                  <m:ctrlPr>
                    <w:rPr>
                      <w:rFonts w:ascii="Cambria Math" w:eastAsia="MS PGothic" w:hAnsi="Cambria Math" w:cs="Calibri"/>
                      <w:b/>
                      <w:bCs/>
                      <w:i/>
                      <w:iCs/>
                      <w:kern w:val="0"/>
                      <w:lang w:val="en-US" w:bidi="ar-SA"/>
                      <w14:ligatures w14:val="none"/>
                    </w:rPr>
                  </m:ctrlPr>
                </m:sSubSupPr>
                <m:e>
                  <m:r>
                    <m:rPr>
                      <m:sty m:val="bi"/>
                    </m:rPr>
                    <w:rPr>
                      <w:rFonts w:ascii="Cambria Math" w:eastAsia="Calibri" w:hAnsi="Cambria Math" w:cs="Arial"/>
                      <w:kern w:val="0"/>
                      <w:lang w:bidi="ar-SA"/>
                      <w14:ligatures w14:val="none"/>
                    </w:rPr>
                    <m:t>DSC</m:t>
                  </m:r>
                </m:e>
                <m:sub>
                  <m:r>
                    <m:rPr>
                      <m:sty m:val="bi"/>
                    </m:rPr>
                    <w:rPr>
                      <w:rFonts w:ascii="Cambria Math" w:eastAsia="Calibri" w:hAnsi="Cambria Math" w:cs="Arial"/>
                      <w:kern w:val="0"/>
                      <w:lang w:bidi="ar-SA"/>
                      <w14:ligatures w14:val="none"/>
                    </w:rPr>
                    <m:t>(t)</m:t>
                  </m:r>
                </m:sub>
                <m:sup>
                  <m:r>
                    <m:rPr>
                      <m:sty m:val="bi"/>
                    </m:rPr>
                    <w:rPr>
                      <w:rFonts w:ascii="Cambria Math" w:eastAsia="Calibri" w:hAnsi="Cambria Math" w:cs="Arial"/>
                      <w:kern w:val="0"/>
                      <w:lang w:bidi="ar-SA"/>
                      <w14:ligatures w14:val="none"/>
                    </w:rPr>
                    <m:t>i</m:t>
                  </m:r>
                </m:sup>
              </m:sSubSup>
            </m:e>
          </m:d>
        </m:oMath>
      </m:oMathPara>
    </w:p>
    <w:p w14:paraId="3D5842FB" w14:textId="17632503" w:rsidR="00AF19C9" w:rsidRPr="00C60F03" w:rsidRDefault="00DC3371" w:rsidP="00AF19C9">
      <w:pPr>
        <w:spacing w:after="0" w:line="240" w:lineRule="auto"/>
        <w:jc w:val="both"/>
        <w:rPr>
          <w:rFonts w:ascii="Times New Roman" w:eastAsia="Calibri" w:hAnsi="Times New Roman" w:cs="Times New Roman"/>
          <w:kern w:val="0"/>
          <w:sz w:val="20"/>
          <w:szCs w:val="20"/>
          <w:lang w:eastAsia="en-GB" w:bidi="ar-SA"/>
          <w14:ligatures w14:val="none"/>
        </w:rPr>
      </w:pPr>
      <w:r w:rsidRPr="00C60F03">
        <w:rPr>
          <w:rFonts w:ascii="Times New Roman" w:eastAsia="Calibri" w:hAnsi="Times New Roman" w:cs="Times New Roman"/>
          <w:kern w:val="0"/>
          <w:sz w:val="20"/>
          <w:szCs w:val="20"/>
          <w:lang w:eastAsia="en-GB" w:bidi="ar-SA"/>
          <w14:ligatures w14:val="none"/>
        </w:rPr>
        <w:t>Gdzie</w:t>
      </w:r>
      <w:r w:rsidR="00AF19C9" w:rsidRPr="00C60F03">
        <w:rPr>
          <w:rFonts w:ascii="Times New Roman" w:eastAsia="Calibri" w:hAnsi="Times New Roman" w:cs="Times New Roman"/>
          <w:kern w:val="0"/>
          <w:sz w:val="20"/>
          <w:szCs w:val="20"/>
          <w:lang w:eastAsia="en-GB" w:bidi="ar-SA"/>
          <w14:ligatures w14:val="none"/>
        </w:rPr>
        <w:t>:</w:t>
      </w:r>
    </w:p>
    <w:p w14:paraId="7E0E5EE3" w14:textId="31F0377C" w:rsidR="00AF19C9" w:rsidRPr="00C60F03" w:rsidRDefault="00AF19C9" w:rsidP="00AF19C9">
      <w:pPr>
        <w:spacing w:after="0" w:line="240" w:lineRule="auto"/>
        <w:jc w:val="both"/>
        <w:rPr>
          <w:rFonts w:ascii="Times New Roman" w:eastAsia="Calibri" w:hAnsi="Times New Roman" w:cs="Times New Roman"/>
          <w:kern w:val="0"/>
          <w:sz w:val="20"/>
          <w:szCs w:val="20"/>
          <w:lang w:eastAsia="en-GB" w:bidi="ar-SA"/>
          <w14:ligatures w14:val="none"/>
        </w:rPr>
      </w:pPr>
    </w:p>
    <w:p w14:paraId="085B2427" w14:textId="773144AE" w:rsidR="00AF19C9" w:rsidRPr="00C60F03" w:rsidRDefault="00AF19C9" w:rsidP="001F59E0">
      <w:pPr>
        <w:spacing w:after="0" w:line="240" w:lineRule="auto"/>
        <w:jc w:val="both"/>
        <w:rPr>
          <w:rFonts w:ascii="Times New Roman" w:eastAsia="Calibri" w:hAnsi="Times New Roman" w:cs="Times New Roman"/>
          <w:kern w:val="0"/>
          <w:sz w:val="20"/>
          <w:szCs w:val="20"/>
          <w:lang w:eastAsia="en-GB" w:bidi="ar-SA"/>
          <w14:ligatures w14:val="none"/>
        </w:rPr>
      </w:pPr>
      <w:r w:rsidRPr="00C60F03">
        <w:rPr>
          <w:rFonts w:ascii="Times New Roman" w:eastAsia="Calibri" w:hAnsi="Times New Roman" w:cs="Times New Roman"/>
          <w:kern w:val="0"/>
          <w:sz w:val="20"/>
          <w:szCs w:val="20"/>
          <w:lang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C60F03">
        <w:rPr>
          <w:rFonts w:ascii="Times New Roman" w:eastAsia="Calibri" w:hAnsi="Times New Roman" w:cs="Times New Roman"/>
          <w:kern w:val="0"/>
          <w:sz w:val="20"/>
          <w:szCs w:val="20"/>
          <w:lang w:eastAsia="en-GB" w:bidi="ar-SA"/>
          <w14:ligatures w14:val="none"/>
        </w:rPr>
        <w:t xml:space="preserve">" </w:t>
      </w:r>
      <w:r w:rsidR="001F59E0" w:rsidRPr="00C60F03">
        <w:rPr>
          <w:rFonts w:ascii="Times New Roman" w:eastAsia="Calibri" w:hAnsi="Times New Roman" w:cs="Times New Roman"/>
          <w:kern w:val="0"/>
          <w:sz w:val="20"/>
          <w:szCs w:val="20"/>
          <w:lang w:eastAsia="en-GB" w:bidi="ar-SA"/>
          <w14:ligatures w14:val="none"/>
        </w:rPr>
        <w:t>oznacza Pojedyncze Prawo do Świadczenia w Kryptowalucie w odniesieniu do konkretnej Kryptowaluty wchodzącej w skład koszyka (oznaczonej jako "i") w dniu "t" dni po Dacie Emisji;</w:t>
      </w:r>
    </w:p>
    <w:p w14:paraId="2B869F0C" w14:textId="36A2A0F5" w:rsidR="00AF19C9" w:rsidRPr="00C60F03" w:rsidRDefault="00AF19C9" w:rsidP="00AF19C9">
      <w:pPr>
        <w:spacing w:after="0" w:line="240" w:lineRule="auto"/>
        <w:jc w:val="both"/>
        <w:rPr>
          <w:rFonts w:ascii="Times New Roman" w:eastAsia="Calibri" w:hAnsi="Times New Roman" w:cs="Times New Roman"/>
          <w:kern w:val="0"/>
          <w:sz w:val="20"/>
          <w:szCs w:val="20"/>
          <w:lang w:eastAsia="en-GB" w:bidi="ar-SA"/>
          <w14:ligatures w14:val="none"/>
        </w:rPr>
      </w:pPr>
    </w:p>
    <w:p w14:paraId="4AF247CF" w14:textId="77777777" w:rsidR="001F59E0" w:rsidRPr="00C60F03" w:rsidRDefault="00AF19C9" w:rsidP="001F59E0">
      <w:pPr>
        <w:spacing w:after="0" w:line="240" w:lineRule="auto"/>
        <w:jc w:val="both"/>
        <w:rPr>
          <w:rFonts w:ascii="Times New Roman" w:eastAsia="Calibri" w:hAnsi="Times New Roman" w:cs="Times New Roman"/>
          <w:kern w:val="0"/>
          <w:sz w:val="20"/>
          <w:szCs w:val="20"/>
          <w:lang w:val="en-GB" w:eastAsia="en-GB" w:bidi="ar-SA"/>
          <w14:ligatures w14:val="none"/>
        </w:rPr>
      </w:pPr>
      <w:r w:rsidRPr="00C60F03">
        <w:rPr>
          <w:rFonts w:ascii="Times New Roman" w:eastAsia="Calibri" w:hAnsi="Times New Roman" w:cs="Times New Roman"/>
          <w:kern w:val="0"/>
          <w:sz w:val="20"/>
          <w:szCs w:val="20"/>
          <w:lang w:val="en-GB" w:eastAsia="en-GB" w:bidi="ar-SA"/>
          <w14:ligatures w14:val="none"/>
        </w:rPr>
        <w:t>"</w:t>
      </w:r>
      <w:r w:rsidRPr="00C60F03">
        <w:rPr>
          <w:rFonts w:ascii="Times New Roman" w:eastAsia="Calibri" w:hAnsi="Times New Roman" w:cs="Times New Roman"/>
          <w:b/>
          <w:bCs/>
          <w:kern w:val="0"/>
          <w:sz w:val="20"/>
          <w:szCs w:val="20"/>
          <w:lang w:val="en-GB" w:eastAsia="en-GB" w:bidi="ar-SA"/>
          <w14:ligatures w14:val="none"/>
        </w:rPr>
        <w:t>t</w:t>
      </w:r>
      <w:r w:rsidRPr="00C60F03">
        <w:rPr>
          <w:rFonts w:ascii="Times New Roman" w:eastAsia="Calibri" w:hAnsi="Times New Roman" w:cs="Times New Roman"/>
          <w:kern w:val="0"/>
          <w:sz w:val="20"/>
          <w:szCs w:val="20"/>
          <w:lang w:val="en-GB" w:eastAsia="en-GB" w:bidi="ar-SA"/>
          <w14:ligatures w14:val="none"/>
        </w:rPr>
        <w:t>"</w:t>
      </w:r>
      <w:r w:rsidRPr="00C60F03">
        <w:rPr>
          <w:rFonts w:ascii="Times New Roman" w:eastAsia="Calibri" w:hAnsi="Times New Roman" w:cs="Times New Roman"/>
          <w:b/>
          <w:bCs/>
          <w:kern w:val="0"/>
          <w:sz w:val="20"/>
          <w:szCs w:val="20"/>
          <w:lang w:val="en-GB" w:eastAsia="en-GB" w:bidi="ar-SA"/>
          <w14:ligatures w14:val="none"/>
        </w:rPr>
        <w:t xml:space="preserve"> </w:t>
      </w:r>
      <w:r w:rsidR="001F59E0" w:rsidRPr="00C60F03">
        <w:rPr>
          <w:rFonts w:ascii="Times New Roman" w:eastAsia="Calibri" w:hAnsi="Times New Roman" w:cs="Times New Roman"/>
          <w:kern w:val="0"/>
          <w:sz w:val="20"/>
          <w:szCs w:val="20"/>
          <w:lang w:val="en-GB" w:eastAsia="en-GB" w:bidi="ar-SA"/>
          <w14:ligatures w14:val="none"/>
        </w:rPr>
        <w:t>oznacza liczbę dni kalendarzowych, które upłynęły od Daty Emisji;</w:t>
      </w:r>
    </w:p>
    <w:p w14:paraId="2FBC90C7" w14:textId="77777777" w:rsidR="001F59E0" w:rsidRPr="00C60F03" w:rsidRDefault="001F59E0" w:rsidP="001F59E0">
      <w:pPr>
        <w:spacing w:after="0" w:line="240" w:lineRule="auto"/>
        <w:jc w:val="both"/>
        <w:rPr>
          <w:rFonts w:ascii="Times New Roman" w:eastAsia="Calibri" w:hAnsi="Times New Roman" w:cs="Times New Roman"/>
          <w:kern w:val="0"/>
          <w:sz w:val="20"/>
          <w:szCs w:val="20"/>
          <w:lang w:val="en-GB" w:eastAsia="en-GB" w:bidi="ar-SA"/>
          <w14:ligatures w14:val="none"/>
        </w:rPr>
      </w:pPr>
    </w:p>
    <w:p w14:paraId="18D65E5F" w14:textId="77777777" w:rsidR="001F59E0" w:rsidRPr="00C60F03" w:rsidRDefault="00AF19C9" w:rsidP="001F59E0">
      <w:pPr>
        <w:spacing w:after="0" w:line="240" w:lineRule="auto"/>
        <w:jc w:val="both"/>
        <w:rPr>
          <w:rFonts w:ascii="Times New Roman" w:eastAsia="Calibri" w:hAnsi="Times New Roman" w:cs="Times New Roman"/>
          <w:kern w:val="0"/>
          <w:sz w:val="20"/>
          <w:szCs w:val="20"/>
          <w:lang w:val="en-GB" w:eastAsia="en-GB" w:bidi="ar-SA"/>
          <w14:ligatures w14:val="none"/>
        </w:rPr>
      </w:pPr>
      <w:r w:rsidRPr="00C60F03">
        <w:rPr>
          <w:rFonts w:ascii="Times New Roman" w:eastAsia="Calibri" w:hAnsi="Times New Roman" w:cs="Times New Roman"/>
          <w:kern w:val="0"/>
          <w:sz w:val="20"/>
          <w:szCs w:val="20"/>
          <w:lang w:val="en-GB"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val="en-GB" w:eastAsia="en-GB" w:bidi="ar-SA"/>
                <w14:ligatures w14:val="none"/>
              </w:rPr>
              <m:t>(t-1)</m:t>
            </m:r>
          </m:sub>
          <m:sup>
            <m:r>
              <m:rPr>
                <m:sty m:val="bi"/>
              </m:rPr>
              <w:rPr>
                <w:rFonts w:ascii="Cambria Math" w:eastAsia="Calibri" w:hAnsi="Cambria Math" w:cs="Times New Roman"/>
                <w:kern w:val="0"/>
                <w:sz w:val="20"/>
                <w:szCs w:val="20"/>
                <w:lang w:val="en-GB" w:eastAsia="en-GB" w:bidi="ar-SA"/>
                <w14:ligatures w14:val="none"/>
              </w:rPr>
              <m:t>i</m:t>
            </m:r>
          </m:sup>
        </m:sSubSup>
      </m:oMath>
      <w:r w:rsidRPr="00C60F03">
        <w:rPr>
          <w:rFonts w:ascii="Times New Roman" w:eastAsia="Calibri" w:hAnsi="Times New Roman" w:cs="Times New Roman"/>
          <w:kern w:val="0"/>
          <w:sz w:val="20"/>
          <w:szCs w:val="20"/>
          <w:lang w:val="en-GB" w:eastAsia="en-GB" w:bidi="ar-SA"/>
          <w14:ligatures w14:val="none"/>
        </w:rPr>
        <w:t xml:space="preserve">" </w:t>
      </w:r>
      <w:r w:rsidR="001F59E0" w:rsidRPr="00C60F03">
        <w:rPr>
          <w:rFonts w:ascii="Times New Roman" w:eastAsia="Calibri" w:hAnsi="Times New Roman" w:cs="Times New Roman"/>
          <w:kern w:val="0"/>
          <w:sz w:val="20"/>
          <w:szCs w:val="20"/>
          <w:lang w:val="en-GB" w:eastAsia="en-GB" w:bidi="ar-SA"/>
          <w14:ligatures w14:val="none"/>
        </w:rPr>
        <w:t>oznacza Pojedyncze Prawo do Świadczenia w Kryptowalucie w odniesieniu do konkretnej Kryptowaluty wchodzącej w skład koszyka (oznaczonej jako "i") w dniu poprzedzającym dzień "t" dni po Dacie Emisji;</w:t>
      </w:r>
    </w:p>
    <w:p w14:paraId="580909A5" w14:textId="77777777" w:rsidR="001F59E0" w:rsidRPr="00C60F03" w:rsidRDefault="001F59E0" w:rsidP="001F59E0">
      <w:pPr>
        <w:spacing w:after="0" w:line="240" w:lineRule="auto"/>
        <w:jc w:val="both"/>
        <w:rPr>
          <w:rFonts w:ascii="Times New Roman" w:eastAsia="Calibri" w:hAnsi="Times New Roman" w:cs="Times New Roman"/>
          <w:kern w:val="0"/>
          <w:sz w:val="20"/>
          <w:szCs w:val="20"/>
          <w:lang w:val="en-GB" w:eastAsia="en-GB" w:bidi="ar-SA"/>
          <w14:ligatures w14:val="none"/>
        </w:rPr>
      </w:pPr>
    </w:p>
    <w:p w14:paraId="5D914C74" w14:textId="4781F4EA" w:rsidR="00AF19C9" w:rsidRPr="00C60F03" w:rsidRDefault="00AF19C9" w:rsidP="001F59E0">
      <w:pPr>
        <w:spacing w:after="0" w:line="240" w:lineRule="auto"/>
        <w:jc w:val="both"/>
        <w:rPr>
          <w:rFonts w:ascii="Times New Roman" w:eastAsia="Calibri" w:hAnsi="Times New Roman" w:cs="Times New Roman"/>
          <w:kern w:val="0"/>
          <w:sz w:val="20"/>
          <w:szCs w:val="20"/>
          <w:lang w:val="en-GB" w:eastAsia="en-GB" w:bidi="ar-SA"/>
          <w14:ligatures w14:val="none"/>
        </w:rPr>
      </w:pPr>
      <w:r w:rsidRPr="00C60F03">
        <w:rPr>
          <w:rFonts w:ascii="Times New Roman" w:eastAsia="Calibri" w:hAnsi="Times New Roman" w:cs="Times New Roman"/>
          <w:kern w:val="0"/>
          <w:sz w:val="20"/>
          <w:szCs w:val="20"/>
          <w:lang w:val="en-GB"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SSR</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t-2</m:t>
                </m:r>
              </m:e>
            </m:d>
          </m:sub>
        </m:sSub>
      </m:oMath>
      <w:r w:rsidRPr="00C60F03">
        <w:rPr>
          <w:rFonts w:ascii="Times New Roman" w:eastAsia="Calibri" w:hAnsi="Times New Roman" w:cs="Times New Roman"/>
          <w:kern w:val="0"/>
          <w:sz w:val="20"/>
          <w:szCs w:val="20"/>
          <w:lang w:val="en-GB" w:eastAsia="en-GB" w:bidi="ar-SA"/>
          <w14:ligatures w14:val="none"/>
        </w:rPr>
        <w:t xml:space="preserve">" </w:t>
      </w:r>
      <w:r w:rsidR="001F59E0" w:rsidRPr="00C60F03">
        <w:rPr>
          <w:rFonts w:ascii="Times New Roman" w:eastAsia="Calibri" w:hAnsi="Times New Roman" w:cs="Times New Roman"/>
          <w:kern w:val="0"/>
          <w:sz w:val="20"/>
          <w:szCs w:val="20"/>
          <w:lang w:val="en-GB" w:eastAsia="en-GB" w:bidi="ar-SA"/>
          <w14:ligatures w14:val="none"/>
        </w:rPr>
        <w:t xml:space="preserve">oznacza Pojedyncze nagrody z stakingu wyrażone w odpowiedniej kryptowalucie, otrzymane (zarówno zarobione, jak i naliczone) ze stakingu </w:t>
      </w:r>
      <w:r w:rsidR="008C3DE6">
        <w:rPr>
          <w:rFonts w:ascii="Times New Roman" w:eastAsia="Calibri" w:hAnsi="Times New Roman" w:cs="Times New Roman"/>
          <w:kern w:val="0"/>
          <w:sz w:val="20"/>
          <w:szCs w:val="20"/>
          <w:lang w:val="en-GB" w:eastAsia="en-GB" w:bidi="ar-SA"/>
          <w14:ligatures w14:val="none"/>
        </w:rPr>
        <w:t>d</w:t>
      </w:r>
      <w:r w:rsidR="001F59E0" w:rsidRPr="00C60F03">
        <w:rPr>
          <w:rFonts w:ascii="Times New Roman" w:eastAsia="Calibri" w:hAnsi="Times New Roman" w:cs="Times New Roman"/>
          <w:kern w:val="0"/>
          <w:sz w:val="20"/>
          <w:szCs w:val="20"/>
          <w:lang w:val="en-GB" w:eastAsia="en-GB" w:bidi="ar-SA"/>
          <w14:ligatures w14:val="none"/>
        </w:rPr>
        <w:t>w</w:t>
      </w:r>
      <w:r w:rsidR="008C3DE6">
        <w:rPr>
          <w:rFonts w:ascii="Times New Roman" w:eastAsia="Calibri" w:hAnsi="Times New Roman" w:cs="Times New Roman"/>
          <w:kern w:val="0"/>
          <w:sz w:val="20"/>
          <w:szCs w:val="20"/>
          <w:lang w:val="en-GB" w:eastAsia="en-GB" w:bidi="ar-SA"/>
          <w14:ligatures w14:val="none"/>
        </w:rPr>
        <w:t>a</w:t>
      </w:r>
      <w:r w:rsidR="001F59E0" w:rsidRPr="00C60F03">
        <w:rPr>
          <w:rFonts w:ascii="Times New Roman" w:eastAsia="Calibri" w:hAnsi="Times New Roman" w:cs="Times New Roman"/>
          <w:kern w:val="0"/>
          <w:sz w:val="20"/>
          <w:szCs w:val="20"/>
          <w:lang w:val="en-GB" w:eastAsia="en-GB" w:bidi="ar-SA"/>
          <w14:ligatures w14:val="none"/>
        </w:rPr>
        <w:t xml:space="preserve"> dni </w:t>
      </w:r>
      <w:r w:rsidR="008C3DE6">
        <w:rPr>
          <w:rFonts w:ascii="Times New Roman" w:eastAsia="Calibri" w:hAnsi="Times New Roman" w:cs="Times New Roman"/>
          <w:kern w:val="0"/>
          <w:sz w:val="20"/>
          <w:szCs w:val="20"/>
          <w:lang w:val="en-GB" w:eastAsia="en-GB" w:bidi="ar-SA"/>
          <w14:ligatures w14:val="none"/>
        </w:rPr>
        <w:t>wczesniej</w:t>
      </w:r>
      <w:r w:rsidR="001F59E0" w:rsidRPr="00C60F03">
        <w:rPr>
          <w:rFonts w:ascii="Times New Roman" w:eastAsia="Calibri" w:hAnsi="Times New Roman" w:cs="Times New Roman"/>
          <w:kern w:val="0"/>
          <w:sz w:val="20"/>
          <w:szCs w:val="20"/>
          <w:lang w:val="en-GB" w:eastAsia="en-GB" w:bidi="ar-SA"/>
          <w14:ligatures w14:val="none"/>
        </w:rPr>
        <w:t xml:space="preserve"> dzień "t" dni po Dacie Emisji;</w:t>
      </w:r>
    </w:p>
    <w:p w14:paraId="61C1AE1F" w14:textId="34995B1C" w:rsidR="00AF19C9" w:rsidRPr="00C60F03" w:rsidRDefault="00AF19C9" w:rsidP="00AF19C9">
      <w:pPr>
        <w:spacing w:after="0" w:line="240" w:lineRule="auto"/>
        <w:jc w:val="both"/>
        <w:rPr>
          <w:rFonts w:ascii="Times New Roman" w:eastAsia="Calibri" w:hAnsi="Times New Roman" w:cs="Times New Roman"/>
          <w:kern w:val="0"/>
          <w:sz w:val="20"/>
          <w:szCs w:val="20"/>
          <w:lang w:val="en-GB" w:eastAsia="en-GB" w:bidi="ar-SA"/>
          <w14:ligatures w14:val="none"/>
        </w:rPr>
      </w:pPr>
    </w:p>
    <w:p w14:paraId="5E41C98E" w14:textId="3D2A5369" w:rsidR="00AF19C9" w:rsidRPr="00C60F03" w:rsidRDefault="00AF19C9" w:rsidP="00210B6E">
      <w:pPr>
        <w:spacing w:after="0" w:line="240" w:lineRule="auto"/>
        <w:jc w:val="both"/>
        <w:rPr>
          <w:rFonts w:ascii="Times New Roman" w:eastAsia="Calibri" w:hAnsi="Times New Roman" w:cs="Times New Roman"/>
          <w:kern w:val="0"/>
          <w:sz w:val="20"/>
          <w:szCs w:val="20"/>
          <w:lang w:val="en-GB" w:eastAsia="en-GB" w:bidi="ar-SA"/>
          <w14:ligatures w14:val="none"/>
        </w:rPr>
      </w:pPr>
      <w:r w:rsidRPr="00C60F03">
        <w:rPr>
          <w:rFonts w:ascii="Times New Roman" w:eastAsia="Calibri" w:hAnsi="Times New Roman" w:cs="Times New Roman"/>
          <w:kern w:val="0"/>
          <w:sz w:val="20"/>
          <w:szCs w:val="20"/>
          <w:lang w:val="en-GB"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N</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m:t>
                </m:r>
                <m:r>
                  <m:rPr>
                    <m:sty m:val="b"/>
                  </m:rPr>
                  <w:rPr>
                    <w:rFonts w:ascii="Cambria Math" w:eastAsia="Calibri" w:hAnsi="Cambria Math" w:cs="Times New Roman"/>
                    <w:kern w:val="0"/>
                    <w:sz w:val="20"/>
                    <w:szCs w:val="20"/>
                    <w:lang w:val="en-GB" w:eastAsia="en-GB" w:bidi="ar-SA"/>
                    <w14:ligatures w14:val="none"/>
                  </w:rPr>
                  <m:t>-1</m:t>
                </m:r>
              </m:e>
            </m:d>
          </m:sub>
        </m:sSub>
        <m:r>
          <m:rPr>
            <m:sty m:val="bi"/>
          </m:rPr>
          <w:rPr>
            <w:rFonts w:ascii="Cambria Math" w:eastAsia="Calibri" w:hAnsi="Cambria Math" w:cs="Times New Roman"/>
            <w:kern w:val="0"/>
            <w:sz w:val="20"/>
            <w:szCs w:val="20"/>
            <w:lang w:val="en-GB" w:eastAsia="en-GB" w:bidi="ar-SA"/>
            <w14:ligatures w14:val="none"/>
          </w:rPr>
          <m:t xml:space="preserve"> </m:t>
        </m:r>
      </m:oMath>
      <w:r w:rsidR="00210B6E" w:rsidRPr="00C60F03">
        <w:rPr>
          <w:rFonts w:ascii="Times New Roman" w:eastAsia="Calibri" w:hAnsi="Times New Roman" w:cs="Times New Roman"/>
          <w:kern w:val="0"/>
          <w:sz w:val="20"/>
          <w:szCs w:val="20"/>
          <w:lang w:val="en-GB" w:eastAsia="en-GB" w:bidi="ar-SA"/>
          <w14:ligatures w14:val="none"/>
        </w:rPr>
        <w:t>oznacza liczbę Obligacji w obiegu na koniec dnia poprzedzającego dzień "t" dni po Dacie Emisji</w:t>
      </w:r>
    </w:p>
    <w:p w14:paraId="1CDE34D0" w14:textId="77777777" w:rsidR="00AF19C9" w:rsidRPr="00C60F03" w:rsidRDefault="00AF19C9" w:rsidP="00AF19C9">
      <w:pPr>
        <w:spacing w:after="0" w:line="240" w:lineRule="auto"/>
        <w:jc w:val="both"/>
        <w:rPr>
          <w:rFonts w:ascii="Times New Roman" w:eastAsia="Calibri" w:hAnsi="Times New Roman" w:cs="Times New Roman"/>
          <w:kern w:val="0"/>
          <w:sz w:val="20"/>
          <w:szCs w:val="20"/>
          <w:lang w:val="en-GB" w:eastAsia="en-GB" w:bidi="ar-SA"/>
          <w14:ligatures w14:val="none"/>
        </w:rPr>
      </w:pPr>
    </w:p>
    <w:p w14:paraId="139CDC71" w14:textId="166CF830" w:rsidR="00AF19C9" w:rsidRPr="00C60F03" w:rsidRDefault="00AF19C9" w:rsidP="00FD070E">
      <w:pPr>
        <w:spacing w:after="0" w:line="240" w:lineRule="auto"/>
        <w:jc w:val="both"/>
        <w:rPr>
          <w:rFonts w:ascii="Times New Roman" w:eastAsia="Calibri" w:hAnsi="Times New Roman" w:cs="Times New Roman"/>
          <w:kern w:val="0"/>
          <w:sz w:val="20"/>
          <w:szCs w:val="20"/>
          <w:lang w:val="en-GB" w:eastAsia="en-GB" w:bidi="ar-SA"/>
          <w14:ligatures w14:val="none"/>
        </w:rPr>
      </w:pPr>
      <w:r w:rsidRPr="00C60F03">
        <w:rPr>
          <w:rFonts w:ascii="Times New Roman" w:eastAsia="Calibri" w:hAnsi="Times New Roman" w:cs="Times New Roman"/>
          <w:kern w:val="0"/>
          <w:sz w:val="20"/>
          <w:szCs w:val="20"/>
          <w:lang w:val="en-GB" w:eastAsia="en-GB" w:bidi="ar-SA"/>
          <w14:ligatures w14:val="none"/>
        </w:rPr>
        <w:t>"</w:t>
      </w:r>
      <m:oMath>
        <m:r>
          <m:rPr>
            <m:sty m:val="bi"/>
          </m:rPr>
          <w:rPr>
            <w:rFonts w:ascii="Cambria Math" w:eastAsia="Calibri" w:hAnsi="Cambria Math" w:cs="Times New Roman"/>
            <w:kern w:val="0"/>
            <w:sz w:val="20"/>
            <w:szCs w:val="20"/>
            <w:lang w:val="en-GB" w:eastAsia="en-GB" w:bidi="ar-SA"/>
            <w14:ligatures w14:val="none"/>
          </w:rPr>
          <m:t>DER</m:t>
        </m:r>
      </m:oMath>
      <w:r w:rsidRPr="00C60F03">
        <w:rPr>
          <w:rFonts w:ascii="Times New Roman" w:eastAsia="Calibri" w:hAnsi="Times New Roman" w:cs="Times New Roman"/>
          <w:kern w:val="0"/>
          <w:sz w:val="20"/>
          <w:szCs w:val="20"/>
          <w:lang w:val="en-GB" w:eastAsia="en-GB" w:bidi="ar-SA"/>
          <w14:ligatures w14:val="none"/>
        </w:rPr>
        <w:t xml:space="preserve">" </w:t>
      </w:r>
      <w:r w:rsidR="00FD070E" w:rsidRPr="00C60F03">
        <w:rPr>
          <w:rFonts w:ascii="Times New Roman" w:eastAsia="Calibri" w:hAnsi="Times New Roman" w:cs="Times New Roman"/>
          <w:kern w:val="0"/>
          <w:sz w:val="20"/>
          <w:szCs w:val="20"/>
          <w:lang w:val="en-GB" w:eastAsia="en-GB" w:bidi="ar-SA"/>
          <w14:ligatures w14:val="none"/>
        </w:rPr>
        <w:t>oznacza Zmniejszającą się Stopę Procentową Prawa do Świadczenia. Zmniejszająca się Stopa Procentowa Prawa do Świadczenia reprezentuje opłatę zarządzania wyrażoną jako stopa, z jaką Pojedyncze Prawo do Świadczenia w Kryptowalucie ulega degradacji w czasie; oraz</w:t>
      </w:r>
    </w:p>
    <w:p w14:paraId="03C19C78" w14:textId="77777777" w:rsidR="00AF19C9" w:rsidRPr="00C60F03" w:rsidRDefault="00AF19C9" w:rsidP="00AF19C9">
      <w:pPr>
        <w:spacing w:after="0" w:line="240" w:lineRule="auto"/>
        <w:jc w:val="both"/>
        <w:rPr>
          <w:rFonts w:ascii="Times New Roman" w:eastAsia="Calibri" w:hAnsi="Times New Roman" w:cs="Times New Roman"/>
          <w:kern w:val="0"/>
          <w:sz w:val="20"/>
          <w:szCs w:val="20"/>
          <w:lang w:val="en-GB" w:eastAsia="en-GB" w:bidi="ar-SA"/>
          <w14:ligatures w14:val="none"/>
        </w:rPr>
      </w:pPr>
    </w:p>
    <w:p w14:paraId="359C4AA9" w14:textId="1E79DD33" w:rsidR="00AF19C9" w:rsidRPr="00C60F03" w:rsidRDefault="00AF19C9" w:rsidP="00FD070E">
      <w:pPr>
        <w:spacing w:after="0" w:line="240" w:lineRule="auto"/>
        <w:jc w:val="both"/>
        <w:rPr>
          <w:rFonts w:ascii="Times New Roman" w:eastAsia="Calibri" w:hAnsi="Times New Roman" w:cs="Times New Roman"/>
          <w:kern w:val="0"/>
          <w:sz w:val="20"/>
          <w:szCs w:val="20"/>
          <w:lang w:val="en-GB" w:eastAsia="en-GB" w:bidi="ar-SA"/>
          <w14:ligatures w14:val="none"/>
        </w:rPr>
      </w:pPr>
      <w:r w:rsidRPr="00C60F03">
        <w:rPr>
          <w:rFonts w:ascii="Times New Roman" w:eastAsia="Calibri" w:hAnsi="Times New Roman" w:cs="Times New Roman"/>
          <w:kern w:val="0"/>
          <w:sz w:val="20"/>
          <w:szCs w:val="20"/>
          <w:lang w:val="en-GB"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DSC</m:t>
            </m:r>
          </m:e>
          <m:sub>
            <m:r>
              <m:rPr>
                <m:sty m:val="bi"/>
              </m:rPr>
              <w:rPr>
                <w:rFonts w:ascii="Cambria Math" w:eastAsia="Calibri" w:hAnsi="Cambria Math" w:cs="Times New Roman"/>
                <w:kern w:val="0"/>
                <w:sz w:val="20"/>
                <w:szCs w:val="20"/>
                <w:lang w:val="en-GB" w:eastAsia="en-GB" w:bidi="ar-SA"/>
                <w14:ligatures w14:val="none"/>
              </w:rPr>
              <m:t>(t)</m:t>
            </m:r>
          </m:sub>
          <m:sup>
            <m:r>
              <m:rPr>
                <m:sty m:val="bi"/>
              </m:rPr>
              <w:rPr>
                <w:rFonts w:ascii="Cambria Math" w:eastAsia="Calibri" w:hAnsi="Cambria Math" w:cs="Times New Roman"/>
                <w:kern w:val="0"/>
                <w:sz w:val="20"/>
                <w:szCs w:val="20"/>
                <w:lang w:val="en-GB" w:eastAsia="en-GB" w:bidi="ar-SA"/>
                <w14:ligatures w14:val="none"/>
              </w:rPr>
              <m:t>i</m:t>
            </m:r>
          </m:sup>
        </m:sSubSup>
      </m:oMath>
      <w:r w:rsidRPr="00C60F03">
        <w:rPr>
          <w:rFonts w:ascii="Times New Roman" w:eastAsia="Calibri" w:hAnsi="Times New Roman" w:cs="Times New Roman"/>
          <w:kern w:val="0"/>
          <w:sz w:val="20"/>
          <w:szCs w:val="20"/>
          <w:lang w:val="en-GB" w:eastAsia="en-GB" w:bidi="ar-SA"/>
          <w14:ligatures w14:val="none"/>
        </w:rPr>
        <w:t xml:space="preserve">" </w:t>
      </w:r>
      <w:r w:rsidR="00FD070E" w:rsidRPr="00C60F03">
        <w:rPr>
          <w:rFonts w:ascii="Times New Roman" w:eastAsia="Calibri" w:hAnsi="Times New Roman" w:cs="Times New Roman"/>
          <w:kern w:val="0"/>
          <w:sz w:val="20"/>
          <w:szCs w:val="20"/>
          <w:lang w:val="en-GB" w:eastAsia="en-GB" w:bidi="ar-SA"/>
          <w14:ligatures w14:val="none"/>
        </w:rPr>
        <w:t>oznacza opłaty stosowane do nagród z stakingu w odniesieniu do konkretnej Kryptowaluty wchodzącej w skład koszyka (oznaczonej jako "i").</w:t>
      </w:r>
    </w:p>
    <w:p w14:paraId="47E90F88" w14:textId="77777777" w:rsidR="00AF19C9" w:rsidRPr="00C60F03" w:rsidRDefault="00AF19C9" w:rsidP="00AF19C9">
      <w:pPr>
        <w:spacing w:after="0" w:line="240" w:lineRule="auto"/>
        <w:jc w:val="both"/>
        <w:rPr>
          <w:rFonts w:ascii="Times New Roman" w:eastAsia="Calibri" w:hAnsi="Times New Roman" w:cs="Times New Roman"/>
          <w:b/>
          <w:bCs/>
          <w:i/>
          <w:iCs/>
          <w:kern w:val="0"/>
          <w:sz w:val="20"/>
          <w:szCs w:val="20"/>
          <w:lang w:val="en-GB" w:eastAsia="en-GB" w:bidi="ar-SA"/>
          <w14:ligatures w14:val="none"/>
        </w:rPr>
      </w:pPr>
    </w:p>
    <w:p w14:paraId="5305C1F3" w14:textId="64A87BD9" w:rsidR="00AF19C9" w:rsidRPr="00C60F03" w:rsidRDefault="00FD070E" w:rsidP="007365C9">
      <w:pPr>
        <w:spacing w:after="6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Cena emisyjna dla inwestorów, którzy nie są Upoważnionymi Uczestnikami, będzie ustalana na bieżąco</w:t>
      </w:r>
      <w:r w:rsidR="00AF19C9" w:rsidRPr="00C60F03">
        <w:rPr>
          <w:rFonts w:ascii="Times New Roman" w:eastAsia="MS Mincho" w:hAnsi="Times New Roman" w:cs="Times New Roman"/>
          <w:kern w:val="0"/>
          <w:sz w:val="20"/>
          <w:szCs w:val="20"/>
          <w:lang w:val="en-US" w:bidi="ar-SA"/>
          <w14:ligatures w14:val="none"/>
        </w:rPr>
        <w:t>.</w:t>
      </w:r>
    </w:p>
    <w:p w14:paraId="3812A8C3" w14:textId="63450498" w:rsidR="007365C9" w:rsidRPr="00C60F03" w:rsidRDefault="007365C9" w:rsidP="007365C9">
      <w:pPr>
        <w:spacing w:after="60" w:line="240" w:lineRule="auto"/>
        <w:jc w:val="both"/>
        <w:rPr>
          <w:rFonts w:ascii="Times New Roman" w:eastAsia="MS Mincho" w:hAnsi="Times New Roman" w:cs="Times New Roman"/>
          <w:kern w:val="0"/>
          <w:sz w:val="20"/>
          <w:szCs w:val="20"/>
          <w:lang w:bidi="ar-SA"/>
          <w14:ligatures w14:val="none"/>
        </w:rPr>
      </w:pPr>
      <w:r w:rsidRPr="00C60F03">
        <w:rPr>
          <w:rFonts w:ascii="Times New Roman" w:eastAsia="MS Mincho" w:hAnsi="Times New Roman" w:cs="Times New Roman"/>
          <w:kern w:val="0"/>
          <w:sz w:val="20"/>
          <w:szCs w:val="20"/>
          <w:lang w:val="en-US" w:bidi="ar-SA"/>
          <w14:ligatures w14:val="none"/>
        </w:rPr>
        <w:t xml:space="preserve">W dniu emisji Prawo do Świadczenia w Kryptowalucie wynosiłoby 0,002 ETH za jedną Obligację, tj. Upoważnieni Uczestnicy nabywający Obligacje od Emitenta otrzymywaliby jedną Obligację za każde 0,002 ETH. Ponadto Emitent będzie pobierał od Upoważnionego Uczestnika opłatę za zapis w wysokości do 0,50 procent od 0,002 ETH. W przypadku nabycia przez inwestora Obligacji od Upoważnionego Uczestnika w </w:t>
      </w:r>
      <w:r w:rsidRPr="008C3DE6">
        <w:rPr>
          <w:rFonts w:ascii="Times New Roman" w:eastAsia="MS Mincho" w:hAnsi="Times New Roman" w:cs="Times New Roman"/>
          <w:kern w:val="0"/>
          <w:sz w:val="20"/>
          <w:szCs w:val="20"/>
          <w:lang w:val="en-US" w:bidi="ar-SA"/>
          <w14:ligatures w14:val="none"/>
        </w:rPr>
        <w:t>euro</w:t>
      </w:r>
      <w:r w:rsidRPr="00C60F03">
        <w:rPr>
          <w:rFonts w:ascii="Times New Roman" w:eastAsia="MS Mincho" w:hAnsi="Times New Roman" w:cs="Times New Roman"/>
          <w:kern w:val="0"/>
          <w:sz w:val="20"/>
          <w:szCs w:val="20"/>
          <w:lang w:val="en-US" w:bidi="ar-SA"/>
          <w14:ligatures w14:val="none"/>
        </w:rPr>
        <w:t xml:space="preserve"> równowartość w </w:t>
      </w:r>
      <w:r w:rsidRPr="008C3DE6">
        <w:rPr>
          <w:rFonts w:ascii="Times New Roman" w:eastAsia="MS Mincho" w:hAnsi="Times New Roman" w:cs="Times New Roman"/>
          <w:kern w:val="0"/>
          <w:sz w:val="20"/>
          <w:szCs w:val="20"/>
          <w:lang w:val="en-US" w:bidi="ar-SA"/>
          <w14:ligatures w14:val="none"/>
        </w:rPr>
        <w:t>euro</w:t>
      </w:r>
      <w:r w:rsidRPr="00C60F03">
        <w:rPr>
          <w:rFonts w:ascii="Times New Roman" w:eastAsia="MS Mincho" w:hAnsi="Times New Roman" w:cs="Times New Roman"/>
          <w:kern w:val="0"/>
          <w:sz w:val="20"/>
          <w:szCs w:val="20"/>
          <w:lang w:val="en-US" w:bidi="ar-SA"/>
          <w14:ligatures w14:val="none"/>
        </w:rPr>
        <w:t xml:space="preserve"> Prawa do Świadczenia w Kryptowalucie z dnia </w:t>
      </w:r>
      <w:r w:rsidR="00651156" w:rsidRPr="00C60F03">
        <w:rPr>
          <w:rFonts w:ascii="Times New Roman" w:eastAsia="MS Mincho" w:hAnsi="Times New Roman" w:cs="Times New Roman"/>
          <w:kern w:val="0"/>
          <w:sz w:val="20"/>
          <w:szCs w:val="20"/>
          <w:lang w:val="en-US" w:bidi="ar-SA"/>
          <w14:ligatures w14:val="none"/>
        </w:rPr>
        <w:t>16 stycznia 2024</w:t>
      </w:r>
      <w:r w:rsidRPr="00C60F03">
        <w:rPr>
          <w:rFonts w:ascii="Times New Roman" w:eastAsia="MS Mincho" w:hAnsi="Times New Roman" w:cs="Times New Roman"/>
          <w:kern w:val="0"/>
          <w:sz w:val="20"/>
          <w:szCs w:val="20"/>
          <w:lang w:val="en-US" w:bidi="ar-SA"/>
          <w14:ligatures w14:val="none"/>
        </w:rPr>
        <w:t xml:space="preserve">, w oparciu o wartość ETH wynoszącą </w:t>
      </w:r>
      <w:r w:rsidR="003B68CD" w:rsidRPr="00C60F03">
        <w:rPr>
          <w:rFonts w:ascii="Times New Roman" w:eastAsia="MS Mincho" w:hAnsi="Times New Roman" w:cs="Times New Roman"/>
          <w:kern w:val="0"/>
          <w:sz w:val="20"/>
          <w:szCs w:val="20"/>
          <w:lang w:val="en-US" w:bidi="ar-SA"/>
          <w14:ligatures w14:val="none"/>
        </w:rPr>
        <w:t>2,351.11</w:t>
      </w:r>
      <w:r w:rsidRPr="008C3DE6">
        <w:rPr>
          <w:rFonts w:ascii="Times New Roman" w:eastAsia="MS Mincho" w:hAnsi="Times New Roman" w:cs="Times New Roman"/>
          <w:kern w:val="0"/>
          <w:sz w:val="20"/>
          <w:szCs w:val="20"/>
          <w:lang w:val="en-US" w:bidi="ar-SA"/>
          <w14:ligatures w14:val="none"/>
        </w:rPr>
        <w:t xml:space="preserve"> euro</w:t>
      </w:r>
      <w:r w:rsidRPr="00C60F03">
        <w:rPr>
          <w:rFonts w:ascii="Times New Roman" w:eastAsia="MS Mincho" w:hAnsi="Times New Roman" w:cs="Times New Roman"/>
          <w:kern w:val="0"/>
          <w:sz w:val="20"/>
          <w:szCs w:val="20"/>
          <w:lang w:val="en-US" w:bidi="ar-SA"/>
          <w14:ligatures w14:val="none"/>
        </w:rPr>
        <w:t xml:space="preserve">, będzie </w:t>
      </w:r>
      <w:r w:rsidR="003B68CD" w:rsidRPr="00C60F03">
        <w:rPr>
          <w:rFonts w:ascii="Times New Roman" w:eastAsia="MS Mincho" w:hAnsi="Times New Roman" w:cs="Times New Roman"/>
          <w:kern w:val="0"/>
          <w:sz w:val="20"/>
          <w:szCs w:val="20"/>
          <w:lang w:val="en-US" w:bidi="ar-SA"/>
          <w14:ligatures w14:val="none"/>
        </w:rPr>
        <w:t>4.70</w:t>
      </w:r>
      <w:r w:rsidRPr="008C3DE6">
        <w:rPr>
          <w:rFonts w:ascii="Times New Roman" w:eastAsia="MS Mincho" w:hAnsi="Times New Roman" w:cs="Times New Roman"/>
          <w:kern w:val="0"/>
          <w:sz w:val="20"/>
          <w:szCs w:val="20"/>
          <w:lang w:val="en-US" w:bidi="ar-SA"/>
          <w14:ligatures w14:val="none"/>
        </w:rPr>
        <w:t xml:space="preserve"> euro</w:t>
      </w:r>
      <w:r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bidi="ar-SA"/>
          <w14:ligatures w14:val="none"/>
        </w:rPr>
        <w:t xml:space="preserve">Jednakże, biorąc pod uwagę, że każdy Upoważniony Uczestnik może pobierać opłatę za zapis od inwestora, któremu sprzedaje Obligacje według własnego uznania, cena nabycia Obligacji może być wyższa niż </w:t>
      </w:r>
      <w:r w:rsidR="003B68CD" w:rsidRPr="00C60F03">
        <w:rPr>
          <w:rFonts w:ascii="Times New Roman" w:eastAsia="MS Mincho" w:hAnsi="Times New Roman" w:cs="Times New Roman"/>
          <w:kern w:val="0"/>
          <w:sz w:val="20"/>
          <w:szCs w:val="20"/>
          <w:lang w:bidi="ar-SA"/>
          <w14:ligatures w14:val="none"/>
        </w:rPr>
        <w:t>4.70</w:t>
      </w:r>
      <w:r w:rsidRPr="008C3DE6">
        <w:rPr>
          <w:rFonts w:ascii="Times New Roman" w:eastAsia="MS Mincho" w:hAnsi="Times New Roman" w:cs="Times New Roman"/>
          <w:kern w:val="0"/>
          <w:sz w:val="20"/>
          <w:szCs w:val="20"/>
          <w:lang w:bidi="ar-SA"/>
          <w14:ligatures w14:val="none"/>
        </w:rPr>
        <w:t xml:space="preserve"> euro.</w:t>
      </w:r>
      <w:r w:rsidRPr="00C60F03">
        <w:rPr>
          <w:rFonts w:ascii="Times New Roman" w:eastAsia="MS Mincho" w:hAnsi="Times New Roman" w:cs="Times New Roman"/>
          <w:kern w:val="0"/>
          <w:sz w:val="20"/>
          <w:szCs w:val="20"/>
          <w:lang w:bidi="ar-SA"/>
          <w14:ligatures w14:val="none"/>
        </w:rPr>
        <w:t xml:space="preserve"> </w:t>
      </w:r>
    </w:p>
    <w:p w14:paraId="69DDAC6D" w14:textId="000AC420" w:rsidR="007365C9" w:rsidRPr="00C60F03" w:rsidRDefault="007365C9" w:rsidP="007365C9">
      <w:pPr>
        <w:spacing w:after="60" w:line="240" w:lineRule="auto"/>
        <w:jc w:val="both"/>
        <w:rPr>
          <w:rFonts w:ascii="Times New Roman" w:eastAsia="MS Mincho" w:hAnsi="Times New Roman" w:cs="Times New Roman"/>
          <w:kern w:val="0"/>
          <w:sz w:val="20"/>
          <w:szCs w:val="20"/>
          <w:lang w:bidi="ar-SA"/>
          <w14:ligatures w14:val="none"/>
        </w:rPr>
      </w:pPr>
      <w:r w:rsidRPr="00C60F03">
        <w:rPr>
          <w:rFonts w:ascii="Times New Roman" w:eastAsia="MS Mincho" w:hAnsi="Times New Roman" w:cs="Times New Roman"/>
          <w:b/>
          <w:bCs/>
          <w:i/>
          <w:iCs/>
          <w:kern w:val="0"/>
          <w:sz w:val="20"/>
          <w:szCs w:val="20"/>
          <w:lang w:bidi="ar-SA"/>
          <w14:ligatures w14:val="none"/>
        </w:rPr>
        <w:t>Wydatki:</w:t>
      </w:r>
      <w:r w:rsidRPr="00C60F03">
        <w:rPr>
          <w:rFonts w:ascii="Times New Roman" w:eastAsia="MS Mincho" w:hAnsi="Times New Roman" w:cs="Times New Roman"/>
          <w:kern w:val="0"/>
          <w:sz w:val="20"/>
          <w:szCs w:val="20"/>
          <w:lang w:bidi="ar-SA"/>
          <w14:ligatures w14:val="none"/>
        </w:rPr>
        <w:t xml:space="preserve"> Szacunkowe łączne wydatki związane z emisją lub ofertą wynoszą </w:t>
      </w:r>
      <w:r w:rsidRPr="008C3DE6">
        <w:rPr>
          <w:rFonts w:ascii="Times New Roman" w:eastAsia="MS Mincho" w:hAnsi="Times New Roman" w:cs="Times New Roman"/>
          <w:kern w:val="0"/>
          <w:sz w:val="20"/>
          <w:szCs w:val="20"/>
          <w:lang w:bidi="ar-SA"/>
          <w14:ligatures w14:val="none"/>
        </w:rPr>
        <w:t>35 500 EUR</w:t>
      </w:r>
      <w:r w:rsidRPr="00C60F03">
        <w:rPr>
          <w:rFonts w:ascii="Times New Roman" w:eastAsia="MS Mincho" w:hAnsi="Times New Roman" w:cs="Times New Roman"/>
          <w:kern w:val="0"/>
          <w:sz w:val="20"/>
          <w:szCs w:val="20"/>
          <w:lang w:bidi="ar-SA"/>
          <w14:ligatures w14:val="none"/>
        </w:rPr>
        <w:t xml:space="preserve">. Emitent pobierze od Upoważnionych Uczestników opłatę za zapis w wysokości do 0,50 procent wartości Prawa do Świadczenia w Kryptowalucie w ramach Obligacji. Emitent nie ma wpływu na to, czy i w jakim zakresie dany Upoważniony </w:t>
      </w:r>
      <w:r w:rsidRPr="00C60F03">
        <w:rPr>
          <w:rFonts w:ascii="Times New Roman" w:eastAsia="MS Mincho" w:hAnsi="Times New Roman" w:cs="Times New Roman"/>
          <w:kern w:val="0"/>
          <w:sz w:val="20"/>
          <w:szCs w:val="20"/>
          <w:lang w:bidi="ar-SA"/>
          <w14:ligatures w14:val="none"/>
        </w:rPr>
        <w:lastRenderedPageBreak/>
        <w:t>Uczestnik będzie pobierał dodatkowe opłaty. Opłaty te mogą się różnić w zależności od Upoważnionego Uczestnika.</w:t>
      </w:r>
    </w:p>
    <w:p w14:paraId="5ABE4028" w14:textId="66BB64AD" w:rsidR="00AF19C9" w:rsidRPr="00C60F03" w:rsidRDefault="001D12F5" w:rsidP="00AF19C9">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C60F03">
        <w:rPr>
          <w:rFonts w:ascii="Times New Roman" w:eastAsia="Times New Roman" w:hAnsi="Times New Roman" w:cs="Times New Roman"/>
          <w:b/>
          <w:bCs/>
          <w:color w:val="000000"/>
          <w:kern w:val="0"/>
          <w:sz w:val="20"/>
          <w:szCs w:val="20"/>
          <w:lang w:val="en-US" w:bidi="ar-SA"/>
          <w14:ligatures w14:val="none"/>
        </w:rPr>
        <w:t>Dlaczego tworzony jest ten prospekt podstawowy?</w:t>
      </w:r>
    </w:p>
    <w:p w14:paraId="4FB02B2D" w14:textId="4963D87A" w:rsidR="00AF19C9" w:rsidRPr="00C60F03" w:rsidRDefault="001D12F5" w:rsidP="00AF19C9">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C60F03">
        <w:rPr>
          <w:rFonts w:ascii="Times New Roman" w:eastAsia="Times New Roman" w:hAnsi="Times New Roman" w:cs="Times New Roman"/>
          <w:b/>
          <w:bCs/>
          <w:iCs/>
          <w:color w:val="000000"/>
          <w:kern w:val="0"/>
          <w:sz w:val="20"/>
          <w:szCs w:val="20"/>
          <w:lang w:val="en-US" w:bidi="ar-SA"/>
          <w14:ligatures w14:val="none"/>
        </w:rPr>
        <w:t>Powody przeprowadzenia oferty lub dopuszczenia do obrotu na rynku regulowanym</w:t>
      </w:r>
    </w:p>
    <w:p w14:paraId="347545B9" w14:textId="72E6D56B" w:rsidR="00AF19C9" w:rsidRPr="00C60F03" w:rsidRDefault="00854884" w:rsidP="00854884">
      <w:pPr>
        <w:spacing w:after="180" w:line="240" w:lineRule="auto"/>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Zamiarem Emitenta jest osiąganie zysków z emisji Obligacji. Emitent osiąga zyski z opłat za zapis, niektórych opłat związanych z wykupem oraz Zmniejszającej się Stopy Praw do Świadczenia.</w:t>
      </w:r>
    </w:p>
    <w:p w14:paraId="1200A506" w14:textId="64E1668F" w:rsidR="00AF19C9" w:rsidRPr="00C60F03" w:rsidRDefault="00854884" w:rsidP="00AF19C9">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bookmarkStart w:id="1" w:name="_Hlk152927106"/>
      <w:r w:rsidRPr="00C60F03">
        <w:rPr>
          <w:rFonts w:ascii="Times New Roman" w:eastAsia="Times New Roman" w:hAnsi="Times New Roman" w:cs="Times New Roman"/>
          <w:b/>
          <w:bCs/>
          <w:iCs/>
          <w:color w:val="000000"/>
          <w:kern w:val="0"/>
          <w:sz w:val="20"/>
          <w:szCs w:val="20"/>
          <w:lang w:val="en-US" w:bidi="ar-SA"/>
          <w14:ligatures w14:val="none"/>
        </w:rPr>
        <w:t>Wykorzystanie i szacunkowe kwoty netto wpływów pieniężnych</w:t>
      </w:r>
    </w:p>
    <w:p w14:paraId="467560C7" w14:textId="33E017E6" w:rsidR="00854884" w:rsidRPr="00C60F03" w:rsidRDefault="00854884" w:rsidP="00854884">
      <w:pPr>
        <w:spacing w:after="180" w:line="240" w:lineRule="auto"/>
        <w:jc w:val="both"/>
        <w:rPr>
          <w:rFonts w:ascii="Times New Roman" w:eastAsia="MS Mincho" w:hAnsi="Times New Roman" w:cs="Times New Roman"/>
          <w:kern w:val="0"/>
          <w:sz w:val="20"/>
          <w:szCs w:val="20"/>
          <w:lang w:val="en-US" w:bidi="ar-SA"/>
          <w14:ligatures w14:val="none"/>
        </w:rPr>
      </w:pPr>
      <w:r w:rsidRPr="00C60F03">
        <w:rPr>
          <w:rFonts w:ascii="Times New Roman" w:eastAsia="MS Mincho" w:hAnsi="Times New Roman" w:cs="Times New Roman"/>
          <w:kern w:val="0"/>
          <w:sz w:val="20"/>
          <w:szCs w:val="20"/>
          <w:lang w:val="en-US" w:bidi="ar-SA"/>
          <w14:ligatures w14:val="none"/>
        </w:rPr>
        <w:t xml:space="preserve">Emitent nabywa Obligacje za Kryptowalutę. Kryptowaluta otrzymana przez Emitenta w drodze subskrypcji Obligacji zostanie przeniesiony do Portfela Depozytariusza i zabezpieczony umową o ustanowieniu zabezpieczenia na rzecz Obligatariuszy, Powiernika Papierów Wartościowych oraz przedstawiciela Obligatariuszy (jeśli zostanie wyznaczony). Przy założeniu zbycia łącznie 3 200 000 000 Obligacji oraz w oparciu o wartość ETH wynoszącą </w:t>
      </w:r>
      <w:r w:rsidR="003B68CD" w:rsidRPr="00C60F03">
        <w:rPr>
          <w:rFonts w:ascii="Times New Roman" w:eastAsia="MS Mincho" w:hAnsi="Times New Roman" w:cs="Times New Roman"/>
          <w:kern w:val="0"/>
          <w:sz w:val="20"/>
          <w:szCs w:val="20"/>
          <w:lang w:val="en-US" w:bidi="ar-SA"/>
          <w14:ligatures w14:val="none"/>
        </w:rPr>
        <w:t>2,351.11</w:t>
      </w:r>
      <w:r w:rsidR="00A23452" w:rsidRPr="008C3DE6">
        <w:rPr>
          <w:rFonts w:ascii="Times New Roman" w:eastAsia="MS Mincho" w:hAnsi="Times New Roman" w:cs="Times New Roman"/>
          <w:kern w:val="0"/>
          <w:sz w:val="20"/>
          <w:szCs w:val="20"/>
          <w:lang w:val="en-US" w:bidi="ar-SA"/>
          <w14:ligatures w14:val="none"/>
        </w:rPr>
        <w:t xml:space="preserve"> euro</w:t>
      </w:r>
      <w:r w:rsidR="00A23452" w:rsidRPr="00C60F03">
        <w:rPr>
          <w:rFonts w:ascii="Times New Roman" w:eastAsia="MS Mincho" w:hAnsi="Times New Roman" w:cs="Times New Roman"/>
          <w:kern w:val="0"/>
          <w:sz w:val="20"/>
          <w:szCs w:val="20"/>
          <w:lang w:val="en-US" w:bidi="ar-SA"/>
          <w14:ligatures w14:val="none"/>
        </w:rPr>
        <w:t xml:space="preserve"> </w:t>
      </w:r>
      <w:r w:rsidRPr="00C60F03">
        <w:rPr>
          <w:rFonts w:ascii="Times New Roman" w:eastAsia="MS Mincho" w:hAnsi="Times New Roman" w:cs="Times New Roman"/>
          <w:kern w:val="0"/>
          <w:sz w:val="20"/>
          <w:szCs w:val="20"/>
          <w:lang w:val="en-US" w:bidi="ar-SA"/>
          <w14:ligatures w14:val="none"/>
        </w:rPr>
        <w:t xml:space="preserve">(na dzień </w:t>
      </w:r>
      <w:r w:rsidR="003B68CD" w:rsidRPr="00C60F03">
        <w:rPr>
          <w:rFonts w:ascii="Times New Roman" w:eastAsia="MS Mincho" w:hAnsi="Times New Roman" w:cs="Times New Roman"/>
          <w:kern w:val="0"/>
          <w:sz w:val="20"/>
          <w:szCs w:val="20"/>
          <w:lang w:val="en-US" w:bidi="ar-SA"/>
          <w14:ligatures w14:val="none"/>
        </w:rPr>
        <w:t xml:space="preserve">16 stycznia </w:t>
      </w:r>
      <w:r w:rsidRPr="00C60F03">
        <w:rPr>
          <w:rFonts w:ascii="Times New Roman" w:eastAsia="MS Mincho" w:hAnsi="Times New Roman" w:cs="Times New Roman"/>
          <w:kern w:val="0"/>
          <w:sz w:val="20"/>
          <w:szCs w:val="20"/>
          <w:lang w:val="en-US" w:bidi="ar-SA"/>
          <w14:ligatures w14:val="none"/>
        </w:rPr>
        <w:t xml:space="preserve"> 202</w:t>
      </w:r>
      <w:r w:rsidR="003B68CD" w:rsidRPr="00C60F03">
        <w:rPr>
          <w:rFonts w:ascii="Times New Roman" w:eastAsia="MS Mincho" w:hAnsi="Times New Roman" w:cs="Times New Roman"/>
          <w:kern w:val="0"/>
          <w:sz w:val="20"/>
          <w:szCs w:val="20"/>
          <w:lang w:val="en-US" w:bidi="ar-SA"/>
          <w14:ligatures w14:val="none"/>
        </w:rPr>
        <w:t>4</w:t>
      </w:r>
      <w:r w:rsidRPr="00C60F03">
        <w:rPr>
          <w:rFonts w:ascii="Times New Roman" w:eastAsia="MS Mincho" w:hAnsi="Times New Roman" w:cs="Times New Roman"/>
          <w:kern w:val="0"/>
          <w:sz w:val="20"/>
          <w:szCs w:val="20"/>
          <w:lang w:val="en-US" w:bidi="ar-SA"/>
          <w14:ligatures w14:val="none"/>
        </w:rPr>
        <w:t xml:space="preserve"> r.), wpływy netto z każdych 10 000 Obligacji wynoszą </w:t>
      </w:r>
      <w:r w:rsidR="003B68CD" w:rsidRPr="00C60F03">
        <w:rPr>
          <w:rFonts w:ascii="Times New Roman" w:eastAsia="MS Mincho" w:hAnsi="Times New Roman" w:cs="Times New Roman"/>
          <w:kern w:val="0"/>
          <w:sz w:val="20"/>
          <w:szCs w:val="20"/>
          <w:lang w:val="en-US" w:bidi="ar-SA"/>
          <w14:ligatures w14:val="none"/>
        </w:rPr>
        <w:t>47,022.20</w:t>
      </w:r>
      <w:r w:rsidR="00A23452" w:rsidRPr="008C3DE6">
        <w:rPr>
          <w:rFonts w:ascii="Times New Roman" w:eastAsia="MS Mincho" w:hAnsi="Times New Roman" w:cs="Times New Roman"/>
          <w:kern w:val="0"/>
          <w:sz w:val="20"/>
          <w:szCs w:val="20"/>
          <w:lang w:val="en-US" w:bidi="ar-SA"/>
          <w14:ligatures w14:val="none"/>
        </w:rPr>
        <w:t xml:space="preserve"> euro</w:t>
      </w:r>
      <w:r w:rsidRPr="008C3DE6">
        <w:rPr>
          <w:rFonts w:ascii="Times New Roman" w:eastAsia="MS Mincho" w:hAnsi="Times New Roman" w:cs="Times New Roman"/>
          <w:kern w:val="0"/>
          <w:sz w:val="20"/>
          <w:szCs w:val="20"/>
          <w:lang w:val="en-US" w:bidi="ar-SA"/>
          <w14:ligatures w14:val="none"/>
        </w:rPr>
        <w:t>.</w:t>
      </w:r>
    </w:p>
    <w:bookmarkEnd w:id="1"/>
    <w:p w14:paraId="2BF996E0" w14:textId="38BCE48F" w:rsidR="00AF19C9" w:rsidRPr="00C60F03" w:rsidRDefault="00E530EE" w:rsidP="00E530EE">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C60F03">
        <w:rPr>
          <w:rFonts w:ascii="Times New Roman" w:eastAsia="Times New Roman" w:hAnsi="Times New Roman" w:cs="Times New Roman"/>
          <w:b/>
          <w:bCs/>
          <w:iCs/>
          <w:color w:val="000000"/>
          <w:kern w:val="0"/>
          <w:sz w:val="20"/>
          <w:szCs w:val="20"/>
          <w:lang w:val="en-GB" w:bidi="ar-SA"/>
          <w14:ligatures w14:val="none"/>
        </w:rPr>
        <w:t>Umowa o subemisję</w:t>
      </w:r>
    </w:p>
    <w:p w14:paraId="211DE279" w14:textId="7AFF95B5" w:rsidR="00AF19C9" w:rsidRPr="00C60F03" w:rsidRDefault="00E530EE" w:rsidP="00AF19C9">
      <w:pPr>
        <w:spacing w:after="180" w:line="240" w:lineRule="auto"/>
        <w:ind w:left="720" w:hanging="720"/>
        <w:jc w:val="both"/>
        <w:rPr>
          <w:rFonts w:ascii="Times New Roman" w:eastAsia="MS Mincho" w:hAnsi="Times New Roman" w:cs="Times New Roman"/>
          <w:kern w:val="0"/>
          <w:sz w:val="20"/>
          <w:szCs w:val="20"/>
          <w:lang w:bidi="ar-SA"/>
          <w14:ligatures w14:val="none"/>
        </w:rPr>
      </w:pPr>
      <w:r w:rsidRPr="00C60F03">
        <w:rPr>
          <w:rFonts w:ascii="Times New Roman" w:eastAsia="MS Mincho" w:hAnsi="Times New Roman" w:cs="Times New Roman"/>
          <w:kern w:val="0"/>
          <w:sz w:val="20"/>
          <w:szCs w:val="20"/>
          <w:lang w:bidi="ar-SA"/>
          <w14:ligatures w14:val="none"/>
        </w:rPr>
        <w:t>Emitent nie zawarł umowy o subemisję.</w:t>
      </w:r>
    </w:p>
    <w:p w14:paraId="1286004B" w14:textId="7E4C11B0" w:rsidR="00AF19C9" w:rsidRPr="00C60F03" w:rsidRDefault="00E530EE" w:rsidP="00AF19C9">
      <w:pPr>
        <w:numPr>
          <w:ilvl w:val="3"/>
          <w:numId w:val="1"/>
        </w:numPr>
        <w:tabs>
          <w:tab w:val="num" w:pos="426"/>
        </w:tabs>
        <w:spacing w:after="60" w:line="240" w:lineRule="auto"/>
        <w:ind w:left="720"/>
        <w:jc w:val="both"/>
        <w:outlineLvl w:val="3"/>
        <w:rPr>
          <w:rFonts w:ascii="Times New Roman" w:eastAsia="Times New Roman" w:hAnsi="Times New Roman" w:cs="Times New Roman"/>
          <w:b/>
          <w:bCs/>
          <w:iCs/>
          <w:color w:val="000000"/>
          <w:kern w:val="0"/>
          <w:sz w:val="20"/>
          <w:szCs w:val="20"/>
          <w:lang w:bidi="ar-SA"/>
          <w14:ligatures w14:val="none"/>
        </w:rPr>
      </w:pPr>
      <w:r w:rsidRPr="00C60F03">
        <w:rPr>
          <w:rFonts w:ascii="Times New Roman" w:eastAsia="Times New Roman" w:hAnsi="Times New Roman" w:cs="Times New Roman"/>
          <w:b/>
          <w:bCs/>
          <w:iCs/>
          <w:color w:val="000000"/>
          <w:kern w:val="0"/>
          <w:sz w:val="20"/>
          <w:szCs w:val="20"/>
          <w:lang w:bidi="ar-SA"/>
          <w14:ligatures w14:val="none"/>
        </w:rPr>
        <w:t>Istotne konflikty interesów związane z ofertą lub dopuszczeniem do obrotu</w:t>
      </w:r>
    </w:p>
    <w:bookmarkEnd w:id="0"/>
    <w:p w14:paraId="48691E64" w14:textId="1354B43F" w:rsidR="00AF19C9" w:rsidRPr="00AF19C9" w:rsidRDefault="00303FD6" w:rsidP="00303FD6">
      <w:pPr>
        <w:spacing w:after="180" w:line="240" w:lineRule="auto"/>
        <w:rPr>
          <w:rFonts w:ascii="Times New Roman" w:eastAsia="MS Mincho" w:hAnsi="Times New Roman" w:cs="Times New Roman"/>
          <w:kern w:val="0"/>
          <w:sz w:val="20"/>
          <w:szCs w:val="20"/>
          <w:lang w:bidi="ar-SA"/>
          <w14:ligatures w14:val="none"/>
        </w:rPr>
      </w:pPr>
      <w:r w:rsidRPr="00C60F03">
        <w:rPr>
          <w:rFonts w:ascii="Times New Roman" w:eastAsia="MS Mincho" w:hAnsi="Times New Roman" w:cs="Times New Roman"/>
          <w:kern w:val="0"/>
          <w:sz w:val="20"/>
          <w:szCs w:val="20"/>
          <w:lang w:bidi="ar-SA"/>
          <w14:ligatures w14:val="none"/>
        </w:rPr>
        <w:t>Poza interesami opisanymi powyżej, nie występują żadne istotne interesy, w szczególności nie występują istotne konflikty interesów w związku z ofertą publiczną lub dopuszczeniem do obrotu.</w:t>
      </w:r>
    </w:p>
    <w:p w14:paraId="03BFBB6C" w14:textId="77777777" w:rsidR="00AF19C9" w:rsidRPr="00AF19C9" w:rsidRDefault="00AF19C9" w:rsidP="00AF19C9">
      <w:pPr>
        <w:rPr>
          <w:rFonts w:ascii="Calibri" w:eastAsia="Calibri" w:hAnsi="Calibri" w:cs="Arial"/>
          <w:kern w:val="0"/>
          <w:lang w:bidi="ar-SA"/>
          <w14:ligatures w14:val="none"/>
        </w:rPr>
      </w:pPr>
    </w:p>
    <w:p w14:paraId="62077761" w14:textId="77777777" w:rsidR="003F2606" w:rsidRPr="00303FD6" w:rsidRDefault="003F2606"/>
    <w:sectPr w:rsidR="003F2606" w:rsidRPr="00303FD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52BF" w14:textId="77777777" w:rsidR="005D4068" w:rsidRDefault="005D4068" w:rsidP="00AF19C9">
      <w:pPr>
        <w:spacing w:after="0" w:line="240" w:lineRule="auto"/>
      </w:pPr>
      <w:r>
        <w:separator/>
      </w:r>
    </w:p>
  </w:endnote>
  <w:endnote w:type="continuationSeparator" w:id="0">
    <w:p w14:paraId="14C35B2F" w14:textId="77777777" w:rsidR="005D4068" w:rsidRDefault="005D4068" w:rsidP="00AF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271B" w14:textId="77777777" w:rsidR="00AF19C9" w:rsidRDefault="00AF1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83408"/>
      <w:docPartObj>
        <w:docPartGallery w:val="Page Numbers (Bottom of Page)"/>
        <w:docPartUnique/>
      </w:docPartObj>
    </w:sdtPr>
    <w:sdtEndPr>
      <w:rPr>
        <w:rStyle w:val="PageNumber"/>
        <w:rFonts w:eastAsia="MS Mincho"/>
      </w:rPr>
    </w:sdtEndPr>
    <w:sdtContent>
      <w:p w14:paraId="051CAC66" w14:textId="77777777" w:rsidR="00AF19C9" w:rsidRPr="00CD6F3C" w:rsidRDefault="00AF19C9" w:rsidP="00CD6F3C">
        <w:pPr>
          <w:pStyle w:val="Footer"/>
          <w:rPr>
            <w:rStyle w:val="PageNumber"/>
            <w:rFonts w:eastAsia="MS Mincho"/>
          </w:rPr>
        </w:pPr>
        <w:r w:rsidRPr="00CD6F3C">
          <w:rPr>
            <w:rStyle w:val="PageNumber"/>
            <w:rFonts w:eastAsia="MS Mincho"/>
          </w:rPr>
          <w:t xml:space="preserve">- </w:t>
        </w:r>
        <w:r w:rsidRPr="00CD6F3C">
          <w:rPr>
            <w:rStyle w:val="PageNumber"/>
            <w:rFonts w:eastAsia="MS Mincho"/>
          </w:rPr>
          <w:fldChar w:fldCharType="begin"/>
        </w:r>
        <w:r w:rsidRPr="00CD6F3C">
          <w:rPr>
            <w:rStyle w:val="PageNumber"/>
            <w:rFonts w:eastAsia="MS Mincho"/>
          </w:rPr>
          <w:instrText xml:space="preserve"> PAGE   \* MERGEFORMAT </w:instrText>
        </w:r>
        <w:r w:rsidRPr="00CD6F3C">
          <w:rPr>
            <w:rStyle w:val="PageNumber"/>
            <w:rFonts w:eastAsia="MS Mincho"/>
          </w:rPr>
          <w:fldChar w:fldCharType="separate"/>
        </w:r>
        <w:r>
          <w:rPr>
            <w:rStyle w:val="PageNumber"/>
            <w:rFonts w:eastAsia="MS Mincho"/>
            <w:noProof/>
          </w:rPr>
          <w:t>44</w:t>
        </w:r>
        <w:r w:rsidRPr="00CD6F3C">
          <w:rPr>
            <w:rStyle w:val="PageNumber"/>
            <w:rFonts w:eastAsia="MS Mincho"/>
          </w:rPr>
          <w:fldChar w:fldCharType="end"/>
        </w:r>
        <w:r w:rsidRPr="00CD6F3C">
          <w:rPr>
            <w:rStyle w:val="PageNumber"/>
            <w:rFonts w:eastAsia="MS Mincho"/>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8D5F" w14:textId="77777777" w:rsidR="00AF19C9" w:rsidRDefault="00AF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FDE5" w14:textId="77777777" w:rsidR="005D4068" w:rsidRDefault="005D4068" w:rsidP="00AF19C9">
      <w:pPr>
        <w:spacing w:after="0" w:line="240" w:lineRule="auto"/>
      </w:pPr>
      <w:r>
        <w:separator/>
      </w:r>
    </w:p>
  </w:footnote>
  <w:footnote w:type="continuationSeparator" w:id="0">
    <w:p w14:paraId="0DDC254B" w14:textId="77777777" w:rsidR="005D4068" w:rsidRDefault="005D4068" w:rsidP="00AF1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E6BB" w14:textId="77777777" w:rsidR="00AF19C9" w:rsidRDefault="00AF1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B0FC" w14:textId="77777777" w:rsidR="00AF19C9" w:rsidRDefault="00AF1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7C56" w14:textId="77777777" w:rsidR="00AF19C9" w:rsidRDefault="00AF1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45A"/>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num w:numId="1" w16cid:durableId="75178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C9"/>
    <w:rsid w:val="00005323"/>
    <w:rsid w:val="000A3453"/>
    <w:rsid w:val="000B235D"/>
    <w:rsid w:val="000C7669"/>
    <w:rsid w:val="000E17E3"/>
    <w:rsid w:val="00117542"/>
    <w:rsid w:val="00152C58"/>
    <w:rsid w:val="001D12F5"/>
    <w:rsid w:val="001F59E0"/>
    <w:rsid w:val="00210B6E"/>
    <w:rsid w:val="00222177"/>
    <w:rsid w:val="00252C26"/>
    <w:rsid w:val="002F3F9A"/>
    <w:rsid w:val="00303FD6"/>
    <w:rsid w:val="00351300"/>
    <w:rsid w:val="00362DD7"/>
    <w:rsid w:val="003B68CD"/>
    <w:rsid w:val="003C1833"/>
    <w:rsid w:val="003C3729"/>
    <w:rsid w:val="003F2606"/>
    <w:rsid w:val="00445BB8"/>
    <w:rsid w:val="004843DD"/>
    <w:rsid w:val="00523D4D"/>
    <w:rsid w:val="00533150"/>
    <w:rsid w:val="00537063"/>
    <w:rsid w:val="00566B92"/>
    <w:rsid w:val="005B054C"/>
    <w:rsid w:val="005B16D0"/>
    <w:rsid w:val="005B3703"/>
    <w:rsid w:val="005B65C7"/>
    <w:rsid w:val="005D4068"/>
    <w:rsid w:val="00616073"/>
    <w:rsid w:val="006367C6"/>
    <w:rsid w:val="0063775F"/>
    <w:rsid w:val="00651156"/>
    <w:rsid w:val="0065419F"/>
    <w:rsid w:val="00682B3A"/>
    <w:rsid w:val="00693089"/>
    <w:rsid w:val="006A1DCE"/>
    <w:rsid w:val="006A4059"/>
    <w:rsid w:val="006C0EAB"/>
    <w:rsid w:val="007365C9"/>
    <w:rsid w:val="007510AB"/>
    <w:rsid w:val="007A3296"/>
    <w:rsid w:val="00845908"/>
    <w:rsid w:val="00846515"/>
    <w:rsid w:val="00854884"/>
    <w:rsid w:val="00893258"/>
    <w:rsid w:val="00897193"/>
    <w:rsid w:val="008C3DE6"/>
    <w:rsid w:val="008E2AC2"/>
    <w:rsid w:val="00970A0A"/>
    <w:rsid w:val="00971213"/>
    <w:rsid w:val="00971C27"/>
    <w:rsid w:val="00996720"/>
    <w:rsid w:val="00A177F8"/>
    <w:rsid w:val="00A23452"/>
    <w:rsid w:val="00A30E25"/>
    <w:rsid w:val="00AB35FF"/>
    <w:rsid w:val="00AF19C9"/>
    <w:rsid w:val="00B04257"/>
    <w:rsid w:val="00B16D52"/>
    <w:rsid w:val="00B54104"/>
    <w:rsid w:val="00B62AB4"/>
    <w:rsid w:val="00B90071"/>
    <w:rsid w:val="00BA46F5"/>
    <w:rsid w:val="00C315AF"/>
    <w:rsid w:val="00C60F03"/>
    <w:rsid w:val="00C842BB"/>
    <w:rsid w:val="00CA5740"/>
    <w:rsid w:val="00CB30C4"/>
    <w:rsid w:val="00CF1401"/>
    <w:rsid w:val="00CF28F3"/>
    <w:rsid w:val="00D02BF3"/>
    <w:rsid w:val="00D54364"/>
    <w:rsid w:val="00DC0EA8"/>
    <w:rsid w:val="00DC3371"/>
    <w:rsid w:val="00E06483"/>
    <w:rsid w:val="00E25312"/>
    <w:rsid w:val="00E37CCA"/>
    <w:rsid w:val="00E530EE"/>
    <w:rsid w:val="00E927E0"/>
    <w:rsid w:val="00F2309E"/>
    <w:rsid w:val="00F847AA"/>
    <w:rsid w:val="00FA08E8"/>
    <w:rsid w:val="00FA2563"/>
    <w:rsid w:val="00FD070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012E"/>
  <w15:chartTrackingRefBased/>
  <w15:docId w15:val="{D83CA0BD-28A2-42DF-B1AD-E1EB8948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19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9C9"/>
    <w:rPr>
      <w:sz w:val="20"/>
      <w:szCs w:val="20"/>
    </w:rPr>
  </w:style>
  <w:style w:type="paragraph" w:styleId="Footer">
    <w:name w:val="footer"/>
    <w:basedOn w:val="Normal"/>
    <w:link w:val="FooterChar"/>
    <w:uiPriority w:val="99"/>
    <w:semiHidden/>
    <w:unhideWhenUsed/>
    <w:rsid w:val="00AF19C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F19C9"/>
  </w:style>
  <w:style w:type="table" w:customStyle="1" w:styleId="TableGrid1">
    <w:name w:val="Table Grid1"/>
    <w:basedOn w:val="TableNormal"/>
    <w:next w:val="TableGrid"/>
    <w:uiPriority w:val="59"/>
    <w:rsid w:val="00AF19C9"/>
    <w:pPr>
      <w:spacing w:after="0" w:line="240" w:lineRule="auto"/>
    </w:pPr>
    <w:rPr>
      <w:kern w:val="0"/>
      <w:lang w:val="en-GB"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AF19C9"/>
  </w:style>
  <w:style w:type="character" w:styleId="PageNumber">
    <w:name w:val="page number"/>
    <w:basedOn w:val="DefaultParagraphFont"/>
    <w:uiPriority w:val="99"/>
    <w:semiHidden/>
    <w:unhideWhenUsed/>
    <w:rsid w:val="00AF19C9"/>
  </w:style>
  <w:style w:type="paragraph" w:styleId="Header">
    <w:name w:val="header"/>
    <w:basedOn w:val="Normal"/>
    <w:link w:val="HeaderChar"/>
    <w:uiPriority w:val="99"/>
    <w:unhideWhenUsed/>
    <w:rsid w:val="00AF19C9"/>
    <w:pPr>
      <w:tabs>
        <w:tab w:val="center" w:pos="4536"/>
        <w:tab w:val="right" w:pos="9072"/>
      </w:tabs>
      <w:spacing w:after="0" w:line="240" w:lineRule="auto"/>
    </w:pPr>
    <w:rPr>
      <w:kern w:val="0"/>
      <w:lang w:bidi="ar-SA"/>
      <w14:ligatures w14:val="none"/>
    </w:rPr>
  </w:style>
  <w:style w:type="character" w:customStyle="1" w:styleId="HeaderChar">
    <w:name w:val="Header Char"/>
    <w:basedOn w:val="DefaultParagraphFont"/>
    <w:link w:val="Header"/>
    <w:uiPriority w:val="99"/>
    <w:rsid w:val="00AF19C9"/>
    <w:rPr>
      <w:kern w:val="0"/>
      <w:lang w:bidi="ar-SA"/>
      <w14:ligatures w14:val="none"/>
    </w:rPr>
  </w:style>
  <w:style w:type="table" w:styleId="TableGrid">
    <w:name w:val="Table Grid"/>
    <w:basedOn w:val="TableNormal"/>
    <w:uiPriority w:val="39"/>
    <w:rsid w:val="00AF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150"/>
    <w:rPr>
      <w:color w:val="0563C1" w:themeColor="hyperlink"/>
      <w:u w:val="single"/>
    </w:rPr>
  </w:style>
  <w:style w:type="character" w:styleId="UnresolvedMention">
    <w:name w:val="Unresolved Mention"/>
    <w:basedOn w:val="DefaultParagraphFont"/>
    <w:uiPriority w:val="99"/>
    <w:semiHidden/>
    <w:unhideWhenUsed/>
    <w:rsid w:val="00533150"/>
    <w:rPr>
      <w:color w:val="605E5C"/>
      <w:shd w:val="clear" w:color="auto" w:fill="E1DFDD"/>
    </w:rPr>
  </w:style>
  <w:style w:type="paragraph" w:styleId="Revision">
    <w:name w:val="Revision"/>
    <w:hidden/>
    <w:uiPriority w:val="99"/>
    <w:semiHidden/>
    <w:rsid w:val="00B04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6030">
      <w:bodyDiv w:val="1"/>
      <w:marLeft w:val="0"/>
      <w:marRight w:val="0"/>
      <w:marTop w:val="0"/>
      <w:marBottom w:val="0"/>
      <w:divBdr>
        <w:top w:val="none" w:sz="0" w:space="0" w:color="auto"/>
        <w:left w:val="none" w:sz="0" w:space="0" w:color="auto"/>
        <w:bottom w:val="none" w:sz="0" w:space="0" w:color="auto"/>
        <w:right w:val="none" w:sz="0" w:space="0" w:color="auto"/>
      </w:divBdr>
    </w:div>
    <w:div w:id="323247109">
      <w:bodyDiv w:val="1"/>
      <w:marLeft w:val="0"/>
      <w:marRight w:val="0"/>
      <w:marTop w:val="0"/>
      <w:marBottom w:val="0"/>
      <w:divBdr>
        <w:top w:val="none" w:sz="0" w:space="0" w:color="auto"/>
        <w:left w:val="none" w:sz="0" w:space="0" w:color="auto"/>
        <w:bottom w:val="none" w:sz="0" w:space="0" w:color="auto"/>
        <w:right w:val="none" w:sz="0" w:space="0" w:color="auto"/>
      </w:divBdr>
    </w:div>
    <w:div w:id="362173955">
      <w:bodyDiv w:val="1"/>
      <w:marLeft w:val="0"/>
      <w:marRight w:val="0"/>
      <w:marTop w:val="0"/>
      <w:marBottom w:val="0"/>
      <w:divBdr>
        <w:top w:val="none" w:sz="0" w:space="0" w:color="auto"/>
        <w:left w:val="none" w:sz="0" w:space="0" w:color="auto"/>
        <w:bottom w:val="none" w:sz="0" w:space="0" w:color="auto"/>
        <w:right w:val="none" w:sz="0" w:space="0" w:color="auto"/>
      </w:divBdr>
    </w:div>
    <w:div w:id="467209836">
      <w:bodyDiv w:val="1"/>
      <w:marLeft w:val="0"/>
      <w:marRight w:val="0"/>
      <w:marTop w:val="0"/>
      <w:marBottom w:val="0"/>
      <w:divBdr>
        <w:top w:val="none" w:sz="0" w:space="0" w:color="auto"/>
        <w:left w:val="none" w:sz="0" w:space="0" w:color="auto"/>
        <w:bottom w:val="none" w:sz="0" w:space="0" w:color="auto"/>
        <w:right w:val="none" w:sz="0" w:space="0" w:color="auto"/>
      </w:divBdr>
    </w:div>
    <w:div w:id="676003902">
      <w:bodyDiv w:val="1"/>
      <w:marLeft w:val="0"/>
      <w:marRight w:val="0"/>
      <w:marTop w:val="0"/>
      <w:marBottom w:val="0"/>
      <w:divBdr>
        <w:top w:val="none" w:sz="0" w:space="0" w:color="auto"/>
        <w:left w:val="none" w:sz="0" w:space="0" w:color="auto"/>
        <w:bottom w:val="none" w:sz="0" w:space="0" w:color="auto"/>
        <w:right w:val="none" w:sz="0" w:space="0" w:color="auto"/>
      </w:divBdr>
    </w:div>
    <w:div w:id="748232396">
      <w:bodyDiv w:val="1"/>
      <w:marLeft w:val="0"/>
      <w:marRight w:val="0"/>
      <w:marTop w:val="0"/>
      <w:marBottom w:val="0"/>
      <w:divBdr>
        <w:top w:val="none" w:sz="0" w:space="0" w:color="auto"/>
        <w:left w:val="none" w:sz="0" w:space="0" w:color="auto"/>
        <w:bottom w:val="none" w:sz="0" w:space="0" w:color="auto"/>
        <w:right w:val="none" w:sz="0" w:space="0" w:color="auto"/>
      </w:divBdr>
    </w:div>
    <w:div w:id="1343511132">
      <w:bodyDiv w:val="1"/>
      <w:marLeft w:val="0"/>
      <w:marRight w:val="0"/>
      <w:marTop w:val="0"/>
      <w:marBottom w:val="0"/>
      <w:divBdr>
        <w:top w:val="none" w:sz="0" w:space="0" w:color="auto"/>
        <w:left w:val="none" w:sz="0" w:space="0" w:color="auto"/>
        <w:bottom w:val="none" w:sz="0" w:space="0" w:color="auto"/>
        <w:right w:val="none" w:sz="0" w:space="0" w:color="auto"/>
      </w:divBdr>
    </w:div>
    <w:div w:id="1962297637">
      <w:bodyDiv w:val="1"/>
      <w:marLeft w:val="0"/>
      <w:marRight w:val="0"/>
      <w:marTop w:val="0"/>
      <w:marBottom w:val="0"/>
      <w:divBdr>
        <w:top w:val="none" w:sz="0" w:space="0" w:color="auto"/>
        <w:left w:val="none" w:sz="0" w:space="0" w:color="auto"/>
        <w:bottom w:val="none" w:sz="0" w:space="0" w:color="auto"/>
        <w:right w:val="none" w:sz="0" w:space="0" w:color="auto"/>
      </w:divBdr>
    </w:div>
    <w:div w:id="2041272526">
      <w:bodyDiv w:val="1"/>
      <w:marLeft w:val="0"/>
      <w:marRight w:val="0"/>
      <w:marTop w:val="0"/>
      <w:marBottom w:val="0"/>
      <w:divBdr>
        <w:top w:val="none" w:sz="0" w:space="0" w:color="auto"/>
        <w:left w:val="none" w:sz="0" w:space="0" w:color="auto"/>
        <w:bottom w:val="none" w:sz="0" w:space="0" w:color="auto"/>
        <w:right w:val="none" w:sz="0" w:space="0" w:color="auto"/>
      </w:divBdr>
    </w:div>
    <w:div w:id="2118400653">
      <w:bodyDiv w:val="1"/>
      <w:marLeft w:val="0"/>
      <w:marRight w:val="0"/>
      <w:marTop w:val="0"/>
      <w:marBottom w:val="0"/>
      <w:divBdr>
        <w:top w:val="none" w:sz="0" w:space="0" w:color="auto"/>
        <w:left w:val="none" w:sz="0" w:space="0" w:color="auto"/>
        <w:bottom w:val="none" w:sz="0" w:space="0" w:color="auto"/>
        <w:right w:val="none" w:sz="0" w:space="0" w:color="auto"/>
      </w:divBdr>
      <w:divsChild>
        <w:div w:id="1152676844">
          <w:marLeft w:val="0"/>
          <w:marRight w:val="0"/>
          <w:marTop w:val="0"/>
          <w:marBottom w:val="0"/>
          <w:divBdr>
            <w:top w:val="single" w:sz="2" w:space="0" w:color="D9D9E3"/>
            <w:left w:val="single" w:sz="2" w:space="0" w:color="D9D9E3"/>
            <w:bottom w:val="single" w:sz="2" w:space="0" w:color="D9D9E3"/>
            <w:right w:val="single" w:sz="2" w:space="0" w:color="D9D9E3"/>
          </w:divBdr>
          <w:divsChild>
            <w:div w:id="16395499">
              <w:marLeft w:val="0"/>
              <w:marRight w:val="0"/>
              <w:marTop w:val="0"/>
              <w:marBottom w:val="0"/>
              <w:divBdr>
                <w:top w:val="single" w:sz="2" w:space="0" w:color="D9D9E3"/>
                <w:left w:val="single" w:sz="2" w:space="0" w:color="D9D9E3"/>
                <w:bottom w:val="single" w:sz="2" w:space="0" w:color="D9D9E3"/>
                <w:right w:val="single" w:sz="2" w:space="0" w:color="D9D9E3"/>
              </w:divBdr>
              <w:divsChild>
                <w:div w:id="291792172">
                  <w:marLeft w:val="0"/>
                  <w:marRight w:val="0"/>
                  <w:marTop w:val="0"/>
                  <w:marBottom w:val="0"/>
                  <w:divBdr>
                    <w:top w:val="single" w:sz="2" w:space="0" w:color="D9D9E3"/>
                    <w:left w:val="single" w:sz="2" w:space="0" w:color="D9D9E3"/>
                    <w:bottom w:val="single" w:sz="2" w:space="0" w:color="D9D9E3"/>
                    <w:right w:val="single" w:sz="2" w:space="0" w:color="D9D9E3"/>
                  </w:divBdr>
                  <w:divsChild>
                    <w:div w:id="289479605">
                      <w:marLeft w:val="0"/>
                      <w:marRight w:val="0"/>
                      <w:marTop w:val="0"/>
                      <w:marBottom w:val="0"/>
                      <w:divBdr>
                        <w:top w:val="single" w:sz="2" w:space="0" w:color="D9D9E3"/>
                        <w:left w:val="single" w:sz="2" w:space="0" w:color="D9D9E3"/>
                        <w:bottom w:val="single" w:sz="2" w:space="0" w:color="D9D9E3"/>
                        <w:right w:val="single" w:sz="2" w:space="0" w:color="D9D9E3"/>
                      </w:divBdr>
                      <w:divsChild>
                        <w:div w:id="1285116971">
                          <w:marLeft w:val="0"/>
                          <w:marRight w:val="0"/>
                          <w:marTop w:val="0"/>
                          <w:marBottom w:val="0"/>
                          <w:divBdr>
                            <w:top w:val="single" w:sz="2" w:space="0" w:color="D9D9E3"/>
                            <w:left w:val="single" w:sz="2" w:space="0" w:color="D9D9E3"/>
                            <w:bottom w:val="single" w:sz="2" w:space="0" w:color="D9D9E3"/>
                            <w:right w:val="single" w:sz="2" w:space="0" w:color="D9D9E3"/>
                          </w:divBdr>
                          <w:divsChild>
                            <w:div w:id="1973436195">
                              <w:marLeft w:val="0"/>
                              <w:marRight w:val="0"/>
                              <w:marTop w:val="100"/>
                              <w:marBottom w:val="100"/>
                              <w:divBdr>
                                <w:top w:val="single" w:sz="2" w:space="0" w:color="D9D9E3"/>
                                <w:left w:val="single" w:sz="2" w:space="0" w:color="D9D9E3"/>
                                <w:bottom w:val="single" w:sz="2" w:space="0" w:color="D9D9E3"/>
                                <w:right w:val="single" w:sz="2" w:space="0" w:color="D9D9E3"/>
                              </w:divBdr>
                              <w:divsChild>
                                <w:div w:id="48845042">
                                  <w:marLeft w:val="0"/>
                                  <w:marRight w:val="0"/>
                                  <w:marTop w:val="0"/>
                                  <w:marBottom w:val="0"/>
                                  <w:divBdr>
                                    <w:top w:val="single" w:sz="2" w:space="0" w:color="D9D9E3"/>
                                    <w:left w:val="single" w:sz="2" w:space="0" w:color="D9D9E3"/>
                                    <w:bottom w:val="single" w:sz="2" w:space="0" w:color="D9D9E3"/>
                                    <w:right w:val="single" w:sz="2" w:space="0" w:color="D9D9E3"/>
                                  </w:divBdr>
                                  <w:divsChild>
                                    <w:div w:id="500196749">
                                      <w:marLeft w:val="0"/>
                                      <w:marRight w:val="0"/>
                                      <w:marTop w:val="0"/>
                                      <w:marBottom w:val="0"/>
                                      <w:divBdr>
                                        <w:top w:val="single" w:sz="2" w:space="0" w:color="D9D9E3"/>
                                        <w:left w:val="single" w:sz="2" w:space="0" w:color="D9D9E3"/>
                                        <w:bottom w:val="single" w:sz="2" w:space="0" w:color="D9D9E3"/>
                                        <w:right w:val="single" w:sz="2" w:space="0" w:color="D9D9E3"/>
                                      </w:divBdr>
                                      <w:divsChild>
                                        <w:div w:id="1569001664">
                                          <w:marLeft w:val="0"/>
                                          <w:marRight w:val="0"/>
                                          <w:marTop w:val="0"/>
                                          <w:marBottom w:val="0"/>
                                          <w:divBdr>
                                            <w:top w:val="single" w:sz="2" w:space="0" w:color="D9D9E3"/>
                                            <w:left w:val="single" w:sz="2" w:space="0" w:color="D9D9E3"/>
                                            <w:bottom w:val="single" w:sz="2" w:space="0" w:color="D9D9E3"/>
                                            <w:right w:val="single" w:sz="2" w:space="0" w:color="D9D9E3"/>
                                          </w:divBdr>
                                          <w:divsChild>
                                            <w:div w:id="399180856">
                                              <w:marLeft w:val="0"/>
                                              <w:marRight w:val="0"/>
                                              <w:marTop w:val="0"/>
                                              <w:marBottom w:val="0"/>
                                              <w:divBdr>
                                                <w:top w:val="single" w:sz="2" w:space="0" w:color="D9D9E3"/>
                                                <w:left w:val="single" w:sz="2" w:space="0" w:color="D9D9E3"/>
                                                <w:bottom w:val="single" w:sz="2" w:space="0" w:color="D9D9E3"/>
                                                <w:right w:val="single" w:sz="2" w:space="0" w:color="D9D9E3"/>
                                              </w:divBdr>
                                              <w:divsChild>
                                                <w:div w:id="1581914331">
                                                  <w:marLeft w:val="0"/>
                                                  <w:marRight w:val="0"/>
                                                  <w:marTop w:val="0"/>
                                                  <w:marBottom w:val="0"/>
                                                  <w:divBdr>
                                                    <w:top w:val="single" w:sz="2" w:space="0" w:color="D9D9E3"/>
                                                    <w:left w:val="single" w:sz="2" w:space="0" w:color="D9D9E3"/>
                                                    <w:bottom w:val="single" w:sz="2" w:space="0" w:color="D9D9E3"/>
                                                    <w:right w:val="single" w:sz="2" w:space="0" w:color="D9D9E3"/>
                                                  </w:divBdr>
                                                  <w:divsChild>
                                                    <w:div w:id="93601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6367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thereum.org/en/e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7" ma:contentTypeDescription="Create a new document." ma:contentTypeScope="" ma:versionID="d24f666c602f23078151cd4efe2f0d6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ca3a7c838b55dbb89e89be8c3294b2a"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d9b55e-dfca-4cbb-a746-4bcb6dc9f5f4}"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095EA-EEAA-4716-9F2D-43F3FE33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710F0-6BA1-47DC-A386-24EA15DCCF66}">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3.xml><?xml version="1.0" encoding="utf-8"?>
<ds:datastoreItem xmlns:ds="http://schemas.openxmlformats.org/officeDocument/2006/customXml" ds:itemID="{E33A08B9-47E4-44D6-8C20-38E96674F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5247</Words>
  <Characters>29909</Characters>
  <Application>Microsoft Office Word</Application>
  <DocSecurity>0</DocSecurity>
  <Lines>249</Lines>
  <Paragraphs>70</Paragraphs>
  <ScaleCrop>false</ScaleCrop>
  <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Karabatova, Tatiana</dc:creator>
  <cp:keywords/>
  <dc:description/>
  <cp:lastModifiedBy>Luke Sayer</cp:lastModifiedBy>
  <cp:revision>83</cp:revision>
  <dcterms:created xsi:type="dcterms:W3CDTF">2023-12-18T12:54:00Z</dcterms:created>
  <dcterms:modified xsi:type="dcterms:W3CDTF">2024-01-24T18:34:00Z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